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A239D" w14:textId="77777777" w:rsidR="00844F93" w:rsidRPr="00DD67D9" w:rsidRDefault="00F81171" w:rsidP="009D3171">
      <w:pPr>
        <w:keepNext/>
        <w:keepLines/>
        <w:suppressAutoHyphens/>
        <w:spacing w:before="360" w:after="180" w:line="260" w:lineRule="atLeast"/>
        <w:ind w:left="851" w:hanging="851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</w:pPr>
      <w:r w:rsidRPr="00DD67D9"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  <w:t>F</w:t>
      </w:r>
      <w:r w:rsidR="00DE408A" w:rsidRPr="00DD67D9"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  <w:t>ond</w:t>
      </w:r>
      <w:r w:rsidRPr="00DD67D9"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  <w:t>i</w:t>
      </w:r>
      <w:r w:rsidR="00DE408A" w:rsidRPr="00DD67D9"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  <w:t xml:space="preserve"> per la formazione professionale</w:t>
      </w:r>
      <w:r w:rsidRPr="00DD67D9">
        <w:rPr>
          <w:rFonts w:ascii="Times New Roman" w:hAnsi="Times New Roman" w:cs="Times New Roman"/>
          <w:b/>
          <w:bCs/>
          <w:sz w:val="28"/>
          <w:szCs w:val="28"/>
          <w:lang w:val="it-CH" w:eastAsia="en-US"/>
        </w:rPr>
        <w:t>: modello di regolamento</w:t>
      </w:r>
    </w:p>
    <w:p w14:paraId="1A652AFC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2"/>
          <w:lang w:val="it-CH"/>
        </w:rPr>
      </w:pPr>
    </w:p>
    <w:p w14:paraId="362EBD38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2"/>
          <w:lang w:val="it-CH"/>
        </w:rPr>
      </w:pPr>
    </w:p>
    <w:p w14:paraId="3A1DE59C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4"/>
          <w:u w:val="single"/>
          <w:lang w:val="it-CH"/>
        </w:rPr>
      </w:pPr>
      <w:r w:rsidRPr="00DD67D9">
        <w:rPr>
          <w:rFonts w:ascii="Times New Roman" w:hAnsi="Times New Roman" w:cs="Times New Roman"/>
          <w:sz w:val="24"/>
          <w:u w:val="single"/>
          <w:lang w:val="it-CH"/>
        </w:rPr>
        <w:t>1.</w:t>
      </w:r>
      <w:r w:rsidRPr="00DD67D9">
        <w:rPr>
          <w:rFonts w:ascii="Times New Roman" w:hAnsi="Times New Roman" w:cs="Times New Roman"/>
          <w:sz w:val="24"/>
          <w:u w:val="single"/>
          <w:lang w:val="it-CH"/>
        </w:rPr>
        <w:tab/>
      </w:r>
      <w:r w:rsidR="00DE408A" w:rsidRPr="00DD67D9">
        <w:rPr>
          <w:rFonts w:ascii="Times New Roman" w:hAnsi="Times New Roman" w:cs="Times New Roman"/>
          <w:sz w:val="24"/>
          <w:u w:val="single"/>
          <w:lang w:val="it-CH"/>
        </w:rPr>
        <w:t>Articolazione formale e struttura</w:t>
      </w:r>
    </w:p>
    <w:p w14:paraId="27FE6A77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2"/>
          <w:lang w:val="it-CH"/>
        </w:rPr>
      </w:pPr>
    </w:p>
    <w:p w14:paraId="66471412" w14:textId="77777777" w:rsidR="00844F93" w:rsidRPr="00DD67D9" w:rsidRDefault="00DE408A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L’articolazione formale e </w:t>
      </w:r>
      <w:r w:rsidR="00233797" w:rsidRPr="00DD67D9">
        <w:rPr>
          <w:rFonts w:ascii="Times New Roman" w:hAnsi="Times New Roman" w:cs="Times New Roman"/>
          <w:sz w:val="22"/>
          <w:lang w:val="it-CH"/>
        </w:rPr>
        <w:t>la struttura di un regolamento relativo a un fondo per la formazione professionale si basano sulle Direttive di tecnica legislativa (DTL), alle quali</w:t>
      </w:r>
      <w:r w:rsidR="00F3795F"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233797" w:rsidRPr="00DD67D9">
        <w:rPr>
          <w:rFonts w:ascii="Times New Roman" w:hAnsi="Times New Roman" w:cs="Times New Roman"/>
          <w:sz w:val="22"/>
          <w:lang w:val="it-CH"/>
        </w:rPr>
        <w:t>raccomandiamo di attener</w:t>
      </w:r>
      <w:r w:rsidR="00C22B07" w:rsidRPr="00DD67D9">
        <w:rPr>
          <w:rFonts w:ascii="Times New Roman" w:hAnsi="Times New Roman" w:cs="Times New Roman"/>
          <w:sz w:val="22"/>
          <w:lang w:val="it-CH"/>
        </w:rPr>
        <w:t>s</w:t>
      </w:r>
      <w:r w:rsidR="00233797" w:rsidRPr="00DD67D9">
        <w:rPr>
          <w:rFonts w:ascii="Times New Roman" w:hAnsi="Times New Roman" w:cs="Times New Roman"/>
          <w:sz w:val="22"/>
          <w:lang w:val="it-CH"/>
        </w:rPr>
        <w:t>i</w:t>
      </w:r>
      <w:r w:rsidR="00844F93" w:rsidRPr="00DD67D9">
        <w:rPr>
          <w:rFonts w:ascii="Times New Roman" w:hAnsi="Times New Roman" w:cs="Times New Roman"/>
          <w:sz w:val="22"/>
          <w:lang w:val="it-CH"/>
        </w:rPr>
        <w:t xml:space="preserve">. </w:t>
      </w:r>
      <w:r w:rsidR="00857512" w:rsidRPr="00DD67D9">
        <w:rPr>
          <w:rFonts w:ascii="Times New Roman" w:hAnsi="Times New Roman" w:cs="Times New Roman"/>
          <w:sz w:val="22"/>
          <w:lang w:val="it-CH"/>
        </w:rPr>
        <w:t xml:space="preserve">Le </w:t>
      </w:r>
      <w:r w:rsidR="00F3795F" w:rsidRPr="00DD67D9">
        <w:rPr>
          <w:rFonts w:ascii="Times New Roman" w:hAnsi="Times New Roman" w:cs="Times New Roman"/>
          <w:sz w:val="22"/>
          <w:lang w:val="it-CH"/>
        </w:rPr>
        <w:t>direttive sono consultabili sul sito della Cancelleria federale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. Le regole riassunte qui di seguito sono </w:t>
      </w:r>
      <w:r w:rsidR="00C22B07" w:rsidRPr="00DD67D9">
        <w:rPr>
          <w:rFonts w:ascii="Times New Roman" w:hAnsi="Times New Roman" w:cs="Times New Roman"/>
          <w:sz w:val="22"/>
          <w:lang w:val="it-CH"/>
        </w:rPr>
        <w:t xml:space="preserve">riprese </w:t>
      </w:r>
      <w:r w:rsidR="007F0FE3" w:rsidRPr="00DD67D9">
        <w:rPr>
          <w:rFonts w:ascii="Times New Roman" w:hAnsi="Times New Roman" w:cs="Times New Roman"/>
          <w:sz w:val="22"/>
          <w:lang w:val="it-CH"/>
        </w:rPr>
        <w:t xml:space="preserve">dai numeri </w:t>
      </w:r>
      <w:r w:rsidRPr="00DD67D9">
        <w:rPr>
          <w:rFonts w:ascii="Times New Roman" w:hAnsi="Times New Roman" w:cs="Times New Roman"/>
          <w:sz w:val="22"/>
          <w:lang w:val="it-CH"/>
        </w:rPr>
        <w:t>marginali 70 segg.</w:t>
      </w:r>
    </w:p>
    <w:p w14:paraId="4FD9E342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2"/>
          <w:lang w:val="it-CH"/>
        </w:rPr>
      </w:pPr>
    </w:p>
    <w:p w14:paraId="74F04A51" w14:textId="5512C194" w:rsidR="00844F93" w:rsidRPr="00DD67D9" w:rsidRDefault="003C524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Vale la regola </w:t>
      </w:r>
      <w:r w:rsidR="00BA3CF1" w:rsidRPr="00DD67D9">
        <w:rPr>
          <w:rFonts w:ascii="Times New Roman" w:hAnsi="Times New Roman" w:cs="Times New Roman"/>
          <w:sz w:val="22"/>
          <w:szCs w:val="20"/>
          <w:lang w:val="it-CH"/>
        </w:rPr>
        <w:t>empirica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secondo cui i regolamenti</w:t>
      </w:r>
      <w:r w:rsidR="00BA3CF1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che contengono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</w:t>
      </w:r>
      <w:r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fino a dodici articoli </w:t>
      </w:r>
      <w:r w:rsidR="00BA3CF1" w:rsidRPr="00DD67D9">
        <w:rPr>
          <w:rFonts w:ascii="Times New Roman" w:hAnsi="Times New Roman" w:cs="Times New Roman"/>
          <w:i/>
          <w:sz w:val="22"/>
          <w:szCs w:val="20"/>
          <w:lang w:val="it-CH"/>
        </w:rPr>
        <w:t xml:space="preserve">non necessitano di </w:t>
      </w:r>
      <w:r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>una partizione</w:t>
      </w:r>
      <w:r w:rsidR="00857512" w:rsidRPr="00DD67D9">
        <w:rPr>
          <w:rFonts w:ascii="Times New Roman" w:hAnsi="Times New Roman" w:cs="Times New Roman"/>
          <w:sz w:val="22"/>
          <w:szCs w:val="20"/>
          <w:lang w:val="it-CH"/>
        </w:rPr>
        <w:t>, mentre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i regolamenti fino a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30 </w:t>
      </w:r>
      <w:r w:rsidR="00BA3CF1" w:rsidRPr="00DD67D9">
        <w:rPr>
          <w:rFonts w:ascii="Times New Roman" w:hAnsi="Times New Roman" w:cs="Times New Roman"/>
          <w:sz w:val="22"/>
          <w:szCs w:val="20"/>
          <w:lang w:val="it-CH"/>
        </w:rPr>
        <w:t>articoli vengono suddivisi con un livello di partizione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(</w:t>
      </w:r>
      <w:r w:rsidR="00BA3CF1" w:rsidRPr="00DD67D9">
        <w:rPr>
          <w:rFonts w:ascii="Times New Roman" w:hAnsi="Times New Roman" w:cs="Times New Roman"/>
          <w:sz w:val="22"/>
          <w:szCs w:val="20"/>
          <w:lang w:val="it-CH"/>
        </w:rPr>
        <w:t>in sezioni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). </w:t>
      </w:r>
      <w:r w:rsidR="00BA3CF1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Le unità di partizione superiori all’articolo (sezioni) sono numerate con cifre arabe e provviste di un </w:t>
      </w:r>
      <w:r w:rsidR="00BA3CF1" w:rsidRPr="00DD67D9">
        <w:rPr>
          <w:rFonts w:ascii="Times New Roman" w:hAnsi="Times New Roman" w:cs="Times New Roman"/>
          <w:i/>
          <w:sz w:val="22"/>
          <w:szCs w:val="20"/>
          <w:lang w:val="it-CH"/>
        </w:rPr>
        <w:t>titolo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4160027B" w14:textId="77777777" w:rsidR="00844F93" w:rsidRPr="00DD67D9" w:rsidRDefault="00844F93" w:rsidP="009D3171">
      <w:pPr>
        <w:jc w:val="both"/>
        <w:rPr>
          <w:rFonts w:ascii="Times New Roman" w:hAnsi="Times New Roman" w:cs="Times New Roman"/>
          <w:sz w:val="22"/>
          <w:lang w:val="it-CH"/>
        </w:rPr>
      </w:pPr>
    </w:p>
    <w:p w14:paraId="1B4C08AB" w14:textId="77777777" w:rsidR="00844F93" w:rsidRPr="00DD67D9" w:rsidRDefault="00BA3CF1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L’</w:t>
      </w:r>
      <w:r w:rsidR="00506706" w:rsidRPr="00DD67D9">
        <w:rPr>
          <w:rFonts w:ascii="Times New Roman" w:hAnsi="Times New Roman" w:cs="Times New Roman"/>
          <w:sz w:val="22"/>
          <w:szCs w:val="20"/>
          <w:lang w:val="it-CH"/>
        </w:rPr>
        <w:t>articolo è l’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unità di partizione </w:t>
      </w:r>
      <w:r w:rsidR="00506706" w:rsidRPr="00DD67D9">
        <w:rPr>
          <w:rFonts w:ascii="Times New Roman" w:hAnsi="Times New Roman" w:cs="Times New Roman"/>
          <w:sz w:val="22"/>
          <w:szCs w:val="20"/>
          <w:lang w:val="it-CH"/>
        </w:rPr>
        <w:t>fondamentale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</w:t>
      </w:r>
      <w:r w:rsidR="00506706" w:rsidRPr="00DD67D9">
        <w:rPr>
          <w:rFonts w:ascii="Times New Roman" w:hAnsi="Times New Roman" w:cs="Times New Roman"/>
          <w:sz w:val="22"/>
          <w:szCs w:val="20"/>
          <w:lang w:val="it-CH"/>
        </w:rPr>
        <w:t>del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</w:t>
      </w:r>
      <w:r w:rsidR="00506706" w:rsidRPr="00DD67D9">
        <w:rPr>
          <w:rFonts w:ascii="Times New Roman" w:hAnsi="Times New Roman" w:cs="Times New Roman"/>
          <w:sz w:val="22"/>
          <w:szCs w:val="20"/>
          <w:lang w:val="it-CH"/>
        </w:rPr>
        <w:t>regolamento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>. P</w:t>
      </w:r>
      <w:r w:rsidR="00506706" w:rsidRPr="00DD67D9">
        <w:rPr>
          <w:rFonts w:ascii="Times New Roman" w:hAnsi="Times New Roman" w:cs="Times New Roman"/>
          <w:sz w:val="22"/>
          <w:szCs w:val="20"/>
          <w:lang w:val="it-CH"/>
        </w:rPr>
        <w:t>uò essere ulteriormente suddiviso in capoversi, lettere, numeri e trattini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. 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Gli articoli sono numerati progressivamente con </w:t>
      </w:r>
      <w:r w:rsidR="00152C85" w:rsidRPr="00DD67D9">
        <w:rPr>
          <w:rFonts w:ascii="Times New Roman" w:hAnsi="Times New Roman" w:cs="Times New Roman"/>
          <w:i/>
          <w:sz w:val="22"/>
          <w:szCs w:val="20"/>
          <w:lang w:val="it-CH"/>
        </w:rPr>
        <w:t>cifre arabe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. 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>A fianco del numero l’articolo reca una rubrica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. 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>Se un’unità di partizione (ad es. una sezione) conta un solo articolo, quest’ultimo non reca alcuna rubrica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4EF555BF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34E7611F" w14:textId="77777777" w:rsidR="00844F93" w:rsidRPr="00DD67D9" w:rsidRDefault="002704A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Gli articoli sono suddivisi in </w:t>
      </w:r>
      <w:r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>capoversi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, numerati con cifre arabe poste in apice. 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Qualora occorra </w:t>
      </w:r>
      <w:r w:rsidR="00152C85"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suddividere ulteriormente 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>un capoverso si ricorre</w:t>
      </w:r>
      <w:r w:rsidR="006E340A" w:rsidRPr="00DD67D9">
        <w:rPr>
          <w:rFonts w:ascii="Times New Roman" w:hAnsi="Times New Roman" w:cs="Times New Roman"/>
          <w:sz w:val="22"/>
          <w:szCs w:val="20"/>
          <w:lang w:val="it-CH"/>
        </w:rPr>
        <w:t>,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nell’ordine</w:t>
      </w:r>
      <w:r w:rsidR="006E340A" w:rsidRPr="00DD67D9">
        <w:rPr>
          <w:rFonts w:ascii="Times New Roman" w:hAnsi="Times New Roman" w:cs="Times New Roman"/>
          <w:sz w:val="22"/>
          <w:szCs w:val="20"/>
          <w:lang w:val="it-CH"/>
        </w:rPr>
        <w:t>,</w:t>
      </w:r>
      <w:r w:rsidR="00152C85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alle seguenti sottopartizioni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>:</w:t>
      </w:r>
    </w:p>
    <w:p w14:paraId="2B85A8D9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F3795F" w:rsidRPr="00DD67D9">
        <w:rPr>
          <w:rFonts w:ascii="Times New Roman" w:hAnsi="Times New Roman" w:cs="Times New Roman"/>
          <w:sz w:val="22"/>
          <w:szCs w:val="20"/>
          <w:lang w:val="it-CH"/>
        </w:rPr>
        <w:t>lettere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(a., b., c., ... i., j., k. </w:t>
      </w:r>
      <w:r w:rsidR="00F3795F" w:rsidRPr="00DD67D9">
        <w:rPr>
          <w:rFonts w:ascii="Times New Roman" w:hAnsi="Times New Roman" w:cs="Times New Roman"/>
          <w:sz w:val="22"/>
          <w:szCs w:val="20"/>
          <w:lang w:val="it-CH"/>
        </w:rPr>
        <w:t>ecc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.)</w:t>
      </w:r>
      <w:r w:rsidR="002704A3" w:rsidRPr="00DD67D9">
        <w:rPr>
          <w:rFonts w:ascii="Times New Roman" w:hAnsi="Times New Roman" w:cs="Times New Roman"/>
          <w:sz w:val="22"/>
          <w:szCs w:val="20"/>
          <w:lang w:val="it-CH"/>
        </w:rPr>
        <w:t>;</w:t>
      </w:r>
    </w:p>
    <w:p w14:paraId="41AB445B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F3795F" w:rsidRPr="00DD67D9">
        <w:rPr>
          <w:rFonts w:ascii="Times New Roman" w:hAnsi="Times New Roman" w:cs="Times New Roman"/>
          <w:sz w:val="22"/>
          <w:szCs w:val="20"/>
          <w:lang w:val="it-CH"/>
        </w:rPr>
        <w:t>numeri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 (1., 2., 3. </w:t>
      </w:r>
      <w:r w:rsidR="00F3795F" w:rsidRPr="00DD67D9">
        <w:rPr>
          <w:rFonts w:ascii="Times New Roman" w:hAnsi="Times New Roman" w:cs="Times New Roman"/>
          <w:sz w:val="22"/>
          <w:szCs w:val="20"/>
          <w:lang w:val="it-CH"/>
        </w:rPr>
        <w:t>ecc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.)</w:t>
      </w:r>
      <w:r w:rsidR="002704A3"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626A2163" w14:textId="77777777" w:rsidR="00844F93" w:rsidRPr="00DD67D9" w:rsidRDefault="00844F93" w:rsidP="009D3171">
      <w:pPr>
        <w:tabs>
          <w:tab w:val="left" w:pos="526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</w:r>
    </w:p>
    <w:p w14:paraId="1C8FB400" w14:textId="77777777" w:rsidR="00844F93" w:rsidRPr="00DD67D9" w:rsidRDefault="00731299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Per </w:t>
      </w:r>
      <w:r w:rsidRPr="00DD67D9">
        <w:rPr>
          <w:rFonts w:ascii="Times New Roman" w:hAnsi="Times New Roman" w:cs="Times New Roman"/>
          <w:i/>
          <w:sz w:val="22"/>
          <w:szCs w:val="20"/>
          <w:lang w:val="it-CH"/>
        </w:rPr>
        <w:t>l’</w:t>
      </w:r>
      <w:r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interpunzione </w:t>
      </w:r>
      <w:r w:rsidRPr="00DD67D9">
        <w:rPr>
          <w:rFonts w:ascii="Times New Roman" w:hAnsi="Times New Roman" w:cs="Times New Roman"/>
          <w:i/>
          <w:sz w:val="22"/>
          <w:szCs w:val="20"/>
          <w:lang w:val="it-CH"/>
        </w:rPr>
        <w:t xml:space="preserve">all’interno di </w:t>
      </w:r>
      <w:r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enumerazioni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sono applicabili i seguenti principi</w:t>
      </w:r>
      <w:r w:rsidR="00844F93" w:rsidRPr="00DD67D9">
        <w:rPr>
          <w:rFonts w:ascii="Times New Roman" w:hAnsi="Times New Roman" w:cs="Times New Roman"/>
          <w:sz w:val="22"/>
          <w:szCs w:val="20"/>
          <w:lang w:val="it-CH"/>
        </w:rPr>
        <w:t>:</w:t>
      </w:r>
    </w:p>
    <w:p w14:paraId="4FF92018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La </w:t>
      </w:r>
      <w:r w:rsidR="00731299"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frase introduttiva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>si chiude con due punti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2351061F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Gli </w:t>
      </w:r>
      <w:r w:rsidR="00731299" w:rsidRPr="00DD67D9">
        <w:rPr>
          <w:rFonts w:ascii="Times New Roman" w:hAnsi="Times New Roman" w:cs="Times New Roman"/>
          <w:i/>
          <w:iCs/>
          <w:sz w:val="22"/>
          <w:szCs w:val="20"/>
          <w:lang w:val="it-CH"/>
        </w:rPr>
        <w:t xml:space="preserve">elementi delle enumerazioni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>sono distinti l’uno dall’altro come segue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:</w:t>
      </w:r>
    </w:p>
    <w:p w14:paraId="76649F16" w14:textId="77777777" w:rsidR="00844F93" w:rsidRPr="00DD67D9" w:rsidRDefault="00844F93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>le lettere con il punto e virgola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;</w:t>
      </w:r>
    </w:p>
    <w:p w14:paraId="0D38084E" w14:textId="77777777" w:rsidR="00844F93" w:rsidRPr="00DD67D9" w:rsidRDefault="00844F93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>i numeri con la virgola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;</w:t>
      </w:r>
    </w:p>
    <w:p w14:paraId="39A34ECF" w14:textId="77777777" w:rsidR="00844F93" w:rsidRPr="00DD67D9" w:rsidRDefault="00844F93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731299" w:rsidRPr="00DD67D9">
        <w:rPr>
          <w:rFonts w:ascii="Times New Roman" w:hAnsi="Times New Roman" w:cs="Times New Roman"/>
          <w:sz w:val="22"/>
          <w:szCs w:val="20"/>
          <w:lang w:val="it-CH"/>
        </w:rPr>
        <w:t>i trattini senza interpunzione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49133710" w14:textId="77777777" w:rsidR="00844F93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- </w:t>
      </w:r>
      <w:r w:rsidR="006E340A" w:rsidRPr="00DD67D9">
        <w:rPr>
          <w:rFonts w:ascii="Times New Roman" w:hAnsi="Times New Roman" w:cs="Times New Roman"/>
          <w:sz w:val="22"/>
          <w:szCs w:val="20"/>
          <w:lang w:val="it-CH"/>
        </w:rPr>
        <w:t>In coda al penultimo elemento si può introdurre rispettivamente «e» oppure «o» qualora dalla frase introduttiva non risulti chiaramente se l’elenco ha carattere cumulativo o alternativo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.</w:t>
      </w:r>
    </w:p>
    <w:p w14:paraId="01342ED1" w14:textId="77777777" w:rsidR="00B241D5" w:rsidRPr="00DD67D9" w:rsidRDefault="00844F93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0"/>
          <w:u w:val="single"/>
          <w:lang w:val="it-CH"/>
        </w:rPr>
      </w:pPr>
      <w:r w:rsidRPr="00DD67D9">
        <w:rPr>
          <w:rFonts w:ascii="Times New Roman" w:hAnsi="Times New Roman" w:cs="Times New Roman"/>
          <w:sz w:val="24"/>
          <w:szCs w:val="20"/>
          <w:lang w:val="it-CH"/>
        </w:rPr>
        <w:br w:type="column"/>
      </w:r>
      <w:r w:rsidRPr="00DD67D9">
        <w:rPr>
          <w:rFonts w:ascii="Times New Roman" w:hAnsi="Times New Roman" w:cs="Times New Roman"/>
          <w:sz w:val="24"/>
          <w:szCs w:val="20"/>
          <w:u w:val="single"/>
          <w:lang w:val="it-CH"/>
        </w:rPr>
        <w:lastRenderedPageBreak/>
        <w:t>2.</w:t>
      </w:r>
      <w:r w:rsidRPr="00DD67D9">
        <w:rPr>
          <w:rFonts w:ascii="Times New Roman" w:hAnsi="Times New Roman" w:cs="Times New Roman"/>
          <w:sz w:val="24"/>
          <w:szCs w:val="20"/>
          <w:u w:val="single"/>
          <w:lang w:val="it-CH"/>
        </w:rPr>
        <w:tab/>
      </w:r>
      <w:r w:rsidR="00B241D5" w:rsidRPr="00DD67D9">
        <w:rPr>
          <w:rFonts w:ascii="Times New Roman" w:hAnsi="Times New Roman" w:cs="Times New Roman"/>
          <w:sz w:val="24"/>
          <w:szCs w:val="20"/>
          <w:u w:val="single"/>
          <w:lang w:val="it-CH"/>
        </w:rPr>
        <w:t>Modello di testo</w:t>
      </w:r>
    </w:p>
    <w:p w14:paraId="49F4BEC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4D478A4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4C90644A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b/>
          <w:sz w:val="22"/>
          <w:szCs w:val="20"/>
          <w:lang w:val="it-CH"/>
        </w:rPr>
        <w:t>Regolamento del fondo per la formazione professionale [denominazione]</w:t>
      </w:r>
    </w:p>
    <w:p w14:paraId="5A6441F3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5342E3AA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del [data]</w:t>
      </w:r>
    </w:p>
    <w:p w14:paraId="4824C92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464683B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1A37B81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0"/>
          <w:lang w:val="it-CH"/>
        </w:rPr>
      </w:pPr>
      <w:r w:rsidRPr="00DD67D9">
        <w:rPr>
          <w:rFonts w:ascii="Times New Roman" w:hAnsi="Times New Roman" w:cs="Times New Roman"/>
          <w:b/>
          <w:bCs/>
          <w:sz w:val="24"/>
          <w:szCs w:val="20"/>
          <w:lang w:val="it-CH"/>
        </w:rPr>
        <w:t>Sezione 1:</w:t>
      </w:r>
      <w:r w:rsidRPr="00DD67D9">
        <w:rPr>
          <w:rFonts w:ascii="Times New Roman" w:hAnsi="Times New Roman" w:cs="Times New Roman"/>
          <w:b/>
          <w:bCs/>
          <w:sz w:val="24"/>
          <w:szCs w:val="20"/>
          <w:lang w:val="it-CH"/>
        </w:rPr>
        <w:tab/>
        <w:t>Denominazione e scopo</w:t>
      </w:r>
    </w:p>
    <w:p w14:paraId="669DC4B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0"/>
          <w:lang w:val="it-CH"/>
        </w:rPr>
      </w:pPr>
    </w:p>
    <w:p w14:paraId="4D91489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Pr="00DD67D9">
        <w:rPr>
          <w:rFonts w:ascii="Times New Roman" w:hAnsi="Times New Roman" w:cs="Times New Roman"/>
          <w:b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Denominazione</w:t>
      </w:r>
    </w:p>
    <w:p w14:paraId="599AE96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szCs w:val="18"/>
          <w:lang w:val="it-CH"/>
        </w:rPr>
        <w:t>Con il presente regolamento si istituisce sotto la denominazione di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[denominazione] </w:t>
      </w:r>
      <w:r w:rsidR="00F81171" w:rsidRPr="00DD67D9">
        <w:rPr>
          <w:rFonts w:ascii="Times New Roman" w:hAnsi="Times New Roman" w:cs="Times New Roman"/>
          <w:sz w:val="22"/>
          <w:lang w:val="it-CH"/>
        </w:rPr>
        <w:t>il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 per la formazione professionale (in seguito denominato </w:t>
      </w:r>
      <w:r w:rsidR="00F52573" w:rsidRPr="00DD67D9">
        <w:rPr>
          <w:rFonts w:ascii="Times New Roman" w:hAnsi="Times New Roman" w:cs="Times New Roman"/>
          <w:sz w:val="22"/>
          <w:lang w:val="it-CH"/>
        </w:rPr>
        <w:t>«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</w:t>
      </w:r>
      <w:r w:rsidR="00F52573" w:rsidRPr="00DD67D9">
        <w:rPr>
          <w:rFonts w:ascii="Times New Roman" w:hAnsi="Times New Roman" w:cs="Times New Roman"/>
          <w:sz w:val="22"/>
          <w:lang w:val="it-CH"/>
        </w:rPr>
        <w:t>»</w:t>
      </w:r>
      <w:r w:rsidRPr="00DD67D9">
        <w:rPr>
          <w:rFonts w:ascii="Times New Roman" w:hAnsi="Times New Roman" w:cs="Times New Roman"/>
          <w:sz w:val="22"/>
          <w:lang w:val="it-CH"/>
        </w:rPr>
        <w:t>) dell’associazione [denominazione, con eventuale abbreviazione tra parentesi] ai sensi dell’articolo 60 della legge federale del 13 dicembre 2002</w:t>
      </w:r>
      <w:r w:rsidRPr="00DD67D9">
        <w:rPr>
          <w:rStyle w:val="Funotenzeichen"/>
          <w:rFonts w:ascii="Times New Roman" w:hAnsi="Times New Roman" w:cs="Times New Roman"/>
          <w:sz w:val="22"/>
          <w:lang w:val="it-CH"/>
        </w:rPr>
        <w:footnoteReference w:id="1"/>
      </w:r>
      <w:r w:rsidRPr="00DD67D9">
        <w:rPr>
          <w:rFonts w:ascii="Times New Roman" w:hAnsi="Times New Roman" w:cs="Times New Roman"/>
          <w:sz w:val="22"/>
          <w:lang w:val="it-CH"/>
        </w:rPr>
        <w:t xml:space="preserve"> sulla formazione professionale (LFPr).</w:t>
      </w:r>
    </w:p>
    <w:p w14:paraId="26F9DE4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AD02D6B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2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Scopo</w:t>
      </w:r>
    </w:p>
    <w:p w14:paraId="7F6B387C" w14:textId="77777777" w:rsidR="00B241D5" w:rsidRPr="00DD67D9" w:rsidRDefault="00EA385D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>Il fondo mira a promuovere la formazione professionale di base, la formazione professionale superiore e la formazione professionale continua del ramo [denominazione] [sono possibili anche altri termini].</w:t>
      </w:r>
    </w:p>
    <w:p w14:paraId="4F62EC59" w14:textId="77777777" w:rsidR="00B241D5" w:rsidRPr="00DD67D9" w:rsidRDefault="00EA385D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827731" w:rsidRPr="00DD67D9">
        <w:rPr>
          <w:rFonts w:ascii="Times New Roman" w:hAnsi="Times New Roman" w:cs="Times New Roman"/>
          <w:sz w:val="22"/>
          <w:lang w:val="it-CH"/>
        </w:rPr>
        <w:t xml:space="preserve">Le aziende </w:t>
      </w:r>
      <w:r w:rsidR="00A202AD" w:rsidRPr="00DD67D9">
        <w:rPr>
          <w:rFonts w:ascii="Times New Roman" w:hAnsi="Times New Roman" w:cs="Times New Roman"/>
          <w:sz w:val="22"/>
          <w:lang w:val="it-CH"/>
        </w:rPr>
        <w:t>assoggettate</w:t>
      </w:r>
      <w:r w:rsidR="00827731" w:rsidRPr="00DD67D9">
        <w:rPr>
          <w:rFonts w:ascii="Times New Roman" w:hAnsi="Times New Roman" w:cs="Times New Roman"/>
          <w:sz w:val="22"/>
          <w:lang w:val="it-CH"/>
        </w:rPr>
        <w:t xml:space="preserve"> al </w:t>
      </w:r>
      <w:r w:rsidR="002F453B" w:rsidRPr="00DD67D9">
        <w:rPr>
          <w:rFonts w:ascii="Times New Roman" w:hAnsi="Times New Roman" w:cs="Times New Roman"/>
          <w:sz w:val="22"/>
          <w:lang w:val="it-CH"/>
        </w:rPr>
        <w:t>f</w:t>
      </w:r>
      <w:r w:rsidR="00827731" w:rsidRPr="00DD67D9">
        <w:rPr>
          <w:rFonts w:ascii="Times New Roman" w:hAnsi="Times New Roman" w:cs="Times New Roman"/>
          <w:sz w:val="22"/>
          <w:lang w:val="it-CH"/>
        </w:rPr>
        <w:t xml:space="preserve">ondo versano contributi volti al raggiungimento dello scopo del </w:t>
      </w:r>
      <w:r w:rsidR="002F453B" w:rsidRPr="00DD67D9">
        <w:rPr>
          <w:rFonts w:ascii="Times New Roman" w:hAnsi="Times New Roman" w:cs="Times New Roman"/>
          <w:sz w:val="22"/>
          <w:lang w:val="it-CH"/>
        </w:rPr>
        <w:t>f</w:t>
      </w:r>
      <w:r w:rsidR="00827731" w:rsidRPr="00DD67D9">
        <w:rPr>
          <w:rFonts w:ascii="Times New Roman" w:hAnsi="Times New Roman" w:cs="Times New Roman"/>
          <w:sz w:val="22"/>
          <w:lang w:val="it-CH"/>
        </w:rPr>
        <w:t xml:space="preserve">ondo secondo la sezione </w:t>
      </w:r>
      <w:r w:rsidRPr="00DD67D9">
        <w:rPr>
          <w:rFonts w:ascii="Times New Roman" w:hAnsi="Times New Roman" w:cs="Times New Roman"/>
          <w:sz w:val="22"/>
          <w:lang w:val="it-CH"/>
        </w:rPr>
        <w:t>4.</w:t>
      </w:r>
    </w:p>
    <w:p w14:paraId="2112038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4B1EFD4E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7EE8854E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lang w:val="it-CH"/>
        </w:rPr>
      </w:pPr>
      <w:r w:rsidRPr="00DD67D9">
        <w:rPr>
          <w:rFonts w:ascii="Times New Roman" w:hAnsi="Times New Roman" w:cs="Times New Roman"/>
          <w:b/>
          <w:bCs/>
          <w:sz w:val="24"/>
          <w:lang w:val="it-CH"/>
        </w:rPr>
        <w:t>Sezione 2:</w:t>
      </w:r>
      <w:r w:rsidRPr="00DD67D9">
        <w:rPr>
          <w:rFonts w:ascii="Times New Roman" w:hAnsi="Times New Roman" w:cs="Times New Roman"/>
          <w:b/>
          <w:bCs/>
          <w:sz w:val="24"/>
          <w:lang w:val="it-CH"/>
        </w:rPr>
        <w:tab/>
        <w:t>Campo d’applicazione</w:t>
      </w:r>
    </w:p>
    <w:p w14:paraId="394EF7B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5824DC0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3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Campo d’applicazione territoriale</w:t>
      </w:r>
    </w:p>
    <w:p w14:paraId="12ED748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2"/>
          <w:lang w:val="it-CH"/>
        </w:rPr>
      </w:pPr>
      <w:r w:rsidRPr="00DD67D9">
        <w:rPr>
          <w:rFonts w:ascii="Times New Roman" w:hAnsi="Times New Roman" w:cs="Times New Roman"/>
          <w:i/>
          <w:iCs/>
          <w:sz w:val="22"/>
          <w:lang w:val="it-CH"/>
        </w:rPr>
        <w:t>Varianti:</w:t>
      </w:r>
    </w:p>
    <w:p w14:paraId="3A9D08B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1. Il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è valido in tutta la Svizzera.</w:t>
      </w:r>
    </w:p>
    <w:p w14:paraId="3564E10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2. Il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 è valido </w:t>
      </w:r>
      <w:r w:rsidR="00EA385D" w:rsidRPr="00DD67D9">
        <w:rPr>
          <w:rFonts w:ascii="Times New Roman" w:hAnsi="Times New Roman" w:cs="Times New Roman"/>
          <w:sz w:val="22"/>
          <w:lang w:val="it-CH"/>
        </w:rPr>
        <w:t>n</w:t>
      </w:r>
      <w:r w:rsidRPr="00DD67D9">
        <w:rPr>
          <w:rFonts w:ascii="Times New Roman" w:hAnsi="Times New Roman" w:cs="Times New Roman"/>
          <w:sz w:val="22"/>
          <w:lang w:val="it-CH"/>
        </w:rPr>
        <w:t>ei Cantoni [</w:t>
      </w:r>
      <w:r w:rsidR="00EA385D" w:rsidRPr="00DD67D9">
        <w:rPr>
          <w:rFonts w:ascii="Times New Roman" w:hAnsi="Times New Roman" w:cs="Times New Roman"/>
          <w:sz w:val="22"/>
          <w:lang w:val="it-CH"/>
        </w:rPr>
        <w:t>elenco dei Cantoni</w:t>
      </w:r>
      <w:r w:rsidRPr="00DD67D9">
        <w:rPr>
          <w:rFonts w:ascii="Times New Roman" w:hAnsi="Times New Roman" w:cs="Times New Roman"/>
          <w:sz w:val="22"/>
          <w:lang w:val="it-CH"/>
        </w:rPr>
        <w:t>].</w:t>
      </w:r>
    </w:p>
    <w:p w14:paraId="7A197D04" w14:textId="77777777" w:rsidR="00B241D5" w:rsidRPr="00DD67D9" w:rsidRDefault="00EA385D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3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. Il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ondo è valido </w:t>
      </w:r>
      <w:r w:rsidR="00857512" w:rsidRPr="00DD67D9">
        <w:rPr>
          <w:rFonts w:ascii="Times New Roman" w:hAnsi="Times New Roman" w:cs="Times New Roman"/>
          <w:sz w:val="22"/>
          <w:lang w:val="it-CH"/>
        </w:rPr>
        <w:t>ne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i Cantoni [elenco dei Cantoni] e </w:t>
      </w:r>
      <w:r w:rsidR="00857512" w:rsidRPr="00DD67D9">
        <w:rPr>
          <w:rFonts w:ascii="Times New Roman" w:hAnsi="Times New Roman" w:cs="Times New Roman"/>
          <w:sz w:val="22"/>
          <w:lang w:val="it-CH"/>
        </w:rPr>
        <w:t>nei distretti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[elenco dei distretti].</w:t>
      </w:r>
    </w:p>
    <w:p w14:paraId="3EDDFA7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64DF66F3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4</w:t>
      </w:r>
      <w:r w:rsidRPr="00DD67D9">
        <w:rPr>
          <w:rFonts w:ascii="Times New Roman" w:hAnsi="Times New Roman" w:cs="Times New Roman"/>
          <w:b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Campo d’applicazione aziendale</w:t>
      </w:r>
    </w:p>
    <w:p w14:paraId="697D5470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Il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è valido per tutte le aziende o parti di aziende, indipendentemente dalla loro forma giuridica, che forniscono [tipo di prestazione]. [tipo di prestazione] sono:</w:t>
      </w:r>
    </w:p>
    <w:p w14:paraId="081D369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  <w:t>[prestazioni];</w:t>
      </w:r>
    </w:p>
    <w:p w14:paraId="63C2FF0A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  <w:t>[prestazioni];</w:t>
      </w:r>
    </w:p>
    <w:p w14:paraId="4ABEFC7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c.</w:t>
      </w:r>
      <w:r w:rsidRPr="00DD67D9">
        <w:rPr>
          <w:rFonts w:ascii="Times New Roman" w:hAnsi="Times New Roman" w:cs="Times New Roman"/>
          <w:sz w:val="22"/>
          <w:lang w:val="it-CH"/>
        </w:rPr>
        <w:tab/>
        <w:t>ecc.</w:t>
      </w:r>
    </w:p>
    <w:p w14:paraId="1BE87FA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41751CE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/>
          <w:iCs/>
          <w:sz w:val="22"/>
          <w:lang w:val="it-CH"/>
        </w:rPr>
      </w:pPr>
      <w:r w:rsidRPr="00DD67D9">
        <w:rPr>
          <w:rFonts w:ascii="Times New Roman" w:hAnsi="Times New Roman" w:cs="Times New Roman"/>
          <w:i/>
          <w:iCs/>
          <w:sz w:val="22"/>
          <w:lang w:val="it-CH"/>
        </w:rPr>
        <w:t>Variante:</w:t>
      </w:r>
    </w:p>
    <w:p w14:paraId="44E1B1F7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Il </w:t>
      </w:r>
      <w:r w:rsidR="00A202AD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è valido per tutte le aziende o parti di aziende, indipendentemente dalla loro forma giuridica, assistite dall’associazione [denominazione]. Segnatamente si tratta di:</w:t>
      </w:r>
    </w:p>
    <w:p w14:paraId="21751C7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  <w:t>[elenco];</w:t>
      </w:r>
    </w:p>
    <w:p w14:paraId="24D28D07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  <w:t>[elenco];</w:t>
      </w:r>
    </w:p>
    <w:p w14:paraId="3C790010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ab/>
        <w:t>c.</w:t>
      </w:r>
      <w:r w:rsidRPr="00DD67D9">
        <w:rPr>
          <w:rFonts w:ascii="Times New Roman" w:hAnsi="Times New Roman" w:cs="Times New Roman"/>
          <w:sz w:val="22"/>
          <w:lang w:val="it-CH"/>
        </w:rPr>
        <w:tab/>
        <w:t>ecc.</w:t>
      </w:r>
    </w:p>
    <w:p w14:paraId="09043A5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023EA487" w14:textId="77777777" w:rsidR="00B241D5" w:rsidRPr="00C805AA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C805AA">
        <w:rPr>
          <w:rFonts w:ascii="Times New Roman" w:hAnsi="Times New Roman" w:cs="Times New Roman"/>
          <w:b/>
          <w:sz w:val="22"/>
          <w:lang w:val="it-CH"/>
        </w:rPr>
        <w:t>Art. 5</w:t>
      </w:r>
      <w:r w:rsidRPr="00C805AA">
        <w:rPr>
          <w:rFonts w:ascii="Times New Roman" w:hAnsi="Times New Roman" w:cs="Times New Roman"/>
          <w:b/>
          <w:sz w:val="22"/>
          <w:lang w:val="it-CH"/>
        </w:rPr>
        <w:tab/>
      </w:r>
      <w:r w:rsidRPr="00C805AA">
        <w:rPr>
          <w:rFonts w:ascii="Times New Roman" w:hAnsi="Times New Roman" w:cs="Times New Roman"/>
          <w:sz w:val="22"/>
          <w:lang w:val="it-CH"/>
        </w:rPr>
        <w:tab/>
        <w:t>Campo d’applicazione personale</w:t>
      </w:r>
    </w:p>
    <w:p w14:paraId="383A73C2" w14:textId="77777777" w:rsidR="00B241D5" w:rsidRPr="00DD67D9" w:rsidRDefault="00C65714" w:rsidP="009D3171">
      <w:pPr>
        <w:pStyle w:val="Textkrper"/>
        <w:jc w:val="both"/>
        <w:rPr>
          <w:rFonts w:ascii="Times New Roman" w:hAnsi="Times New Roman" w:cs="Times New Roman"/>
          <w:szCs w:val="24"/>
          <w:lang w:val="it-CH"/>
        </w:rPr>
      </w:pPr>
      <w:r w:rsidRPr="00DD67D9">
        <w:rPr>
          <w:rFonts w:ascii="Times New Roman" w:hAnsi="Times New Roman" w:cs="Times New Roman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Cs w:val="24"/>
          <w:lang w:val="it-CH"/>
        </w:rPr>
        <w:t xml:space="preserve">Il </w:t>
      </w:r>
      <w:r w:rsidR="00A202AD" w:rsidRPr="00DD67D9">
        <w:rPr>
          <w:rFonts w:ascii="Times New Roman" w:hAnsi="Times New Roman" w:cs="Times New Roman"/>
          <w:szCs w:val="24"/>
          <w:lang w:val="it-CH"/>
        </w:rPr>
        <w:t>f</w:t>
      </w:r>
      <w:r w:rsidR="00B241D5" w:rsidRPr="00DD67D9">
        <w:rPr>
          <w:rFonts w:ascii="Times New Roman" w:hAnsi="Times New Roman" w:cs="Times New Roman"/>
          <w:szCs w:val="24"/>
          <w:lang w:val="it-CH"/>
        </w:rPr>
        <w:t xml:space="preserve">ondo è valido per tutte le aziende o parti di aziende, indipendentemente dalla loro forma giuridica, </w:t>
      </w:r>
      <w:r w:rsidR="003E24F8" w:rsidRPr="00DD67D9">
        <w:rPr>
          <w:rFonts w:ascii="Times New Roman" w:hAnsi="Times New Roman" w:cs="Times New Roman"/>
          <w:szCs w:val="24"/>
          <w:lang w:val="it-CH"/>
        </w:rPr>
        <w:t xml:space="preserve">in cui </w:t>
      </w:r>
      <w:r w:rsidR="004879B5" w:rsidRPr="00DD67D9">
        <w:rPr>
          <w:rFonts w:ascii="Times New Roman" w:hAnsi="Times New Roman" w:cs="Times New Roman"/>
          <w:szCs w:val="24"/>
          <w:lang w:val="it-CH"/>
        </w:rPr>
        <w:t>vi sono</w:t>
      </w:r>
      <w:r w:rsidR="000A70A4" w:rsidRPr="00DD67D9">
        <w:rPr>
          <w:rFonts w:ascii="Times New Roman" w:hAnsi="Times New Roman" w:cs="Times New Roman"/>
          <w:szCs w:val="24"/>
          <w:lang w:val="it-CH"/>
        </w:rPr>
        <w:t xml:space="preserve"> persone che svolgono attività </w:t>
      </w:r>
      <w:r w:rsidR="00C701DC" w:rsidRPr="00DD67D9">
        <w:rPr>
          <w:rFonts w:ascii="Times New Roman" w:hAnsi="Times New Roman" w:cs="Times New Roman"/>
          <w:szCs w:val="24"/>
          <w:lang w:val="it-CH"/>
        </w:rPr>
        <w:t>tipiche</w:t>
      </w:r>
      <w:r w:rsidR="000A70A4" w:rsidRPr="00DD67D9">
        <w:rPr>
          <w:rFonts w:ascii="Times New Roman" w:hAnsi="Times New Roman" w:cs="Times New Roman"/>
          <w:szCs w:val="24"/>
          <w:lang w:val="it-CH"/>
        </w:rPr>
        <w:t xml:space="preserve"> del settore </w:t>
      </w:r>
      <w:r w:rsidR="006E4CF7" w:rsidRPr="00DD67D9">
        <w:rPr>
          <w:rFonts w:ascii="Times New Roman" w:hAnsi="Times New Roman" w:cs="Times New Roman"/>
          <w:szCs w:val="24"/>
          <w:lang w:val="it-CH"/>
        </w:rPr>
        <w:t>sulla base dei</w:t>
      </w:r>
      <w:r w:rsidR="000A70A4" w:rsidRPr="00DD67D9">
        <w:rPr>
          <w:rFonts w:ascii="Times New Roman" w:hAnsi="Times New Roman" w:cs="Times New Roman"/>
          <w:szCs w:val="24"/>
          <w:lang w:val="it-CH"/>
        </w:rPr>
        <w:t xml:space="preserve"> seguenti titoli </w:t>
      </w:r>
      <w:r w:rsidR="00C701DC" w:rsidRPr="00DD67D9">
        <w:rPr>
          <w:rFonts w:ascii="Times New Roman" w:hAnsi="Times New Roman" w:cs="Times New Roman"/>
          <w:szCs w:val="24"/>
          <w:lang w:val="it-CH"/>
        </w:rPr>
        <w:t>della</w:t>
      </w:r>
      <w:r w:rsidR="000A70A4" w:rsidRPr="00DD67D9">
        <w:rPr>
          <w:rFonts w:ascii="Times New Roman" w:hAnsi="Times New Roman" w:cs="Times New Roman"/>
          <w:szCs w:val="24"/>
          <w:lang w:val="it-CH"/>
        </w:rPr>
        <w:t xml:space="preserve"> formazione professionale di base, </w:t>
      </w:r>
      <w:r w:rsidR="00C701DC" w:rsidRPr="00DD67D9">
        <w:rPr>
          <w:rFonts w:ascii="Times New Roman" w:hAnsi="Times New Roman" w:cs="Times New Roman"/>
          <w:szCs w:val="24"/>
          <w:lang w:val="it-CH"/>
        </w:rPr>
        <w:t xml:space="preserve">della </w:t>
      </w:r>
      <w:r w:rsidR="000A70A4" w:rsidRPr="00DD67D9">
        <w:rPr>
          <w:rFonts w:ascii="Times New Roman" w:hAnsi="Times New Roman" w:cs="Times New Roman"/>
          <w:szCs w:val="24"/>
          <w:lang w:val="it-CH"/>
        </w:rPr>
        <w:t xml:space="preserve">formazione professionale superiore o </w:t>
      </w:r>
      <w:r w:rsidR="00C701DC" w:rsidRPr="00DD67D9">
        <w:rPr>
          <w:rFonts w:ascii="Times New Roman" w:hAnsi="Times New Roman" w:cs="Times New Roman"/>
          <w:szCs w:val="24"/>
          <w:lang w:val="it-CH"/>
        </w:rPr>
        <w:t xml:space="preserve">della </w:t>
      </w:r>
      <w:r w:rsidR="000A70A4" w:rsidRPr="00DD67D9">
        <w:rPr>
          <w:rFonts w:ascii="Times New Roman" w:hAnsi="Times New Roman" w:cs="Times New Roman"/>
          <w:szCs w:val="24"/>
          <w:lang w:val="it-CH"/>
        </w:rPr>
        <w:t>formazione professionale continua</w:t>
      </w:r>
      <w:r w:rsidR="00B241D5" w:rsidRPr="00DD67D9">
        <w:rPr>
          <w:rFonts w:ascii="Times New Roman" w:hAnsi="Times New Roman" w:cs="Times New Roman"/>
          <w:szCs w:val="24"/>
          <w:lang w:val="it-CH"/>
        </w:rPr>
        <w:t>:</w:t>
      </w:r>
    </w:p>
    <w:p w14:paraId="3577B378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  <w:t>[denominazione</w:t>
      </w:r>
      <w:r w:rsidR="000A70A4" w:rsidRPr="00DD67D9">
        <w:rPr>
          <w:rFonts w:ascii="Times New Roman" w:hAnsi="Times New Roman" w:cs="Times New Roman"/>
          <w:sz w:val="22"/>
          <w:lang w:val="it-CH"/>
        </w:rPr>
        <w:t>(i) della</w:t>
      </w:r>
      <w:r w:rsidR="009E3C7F" w:rsidRPr="00DD67D9">
        <w:rPr>
          <w:rFonts w:ascii="Times New Roman" w:hAnsi="Times New Roman" w:cs="Times New Roman"/>
          <w:sz w:val="22"/>
          <w:lang w:val="it-CH"/>
        </w:rPr>
        <w:t>(e)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 formazione</w:t>
      </w:r>
      <w:r w:rsidR="009E3C7F" w:rsidRPr="00DD67D9">
        <w:rPr>
          <w:rFonts w:ascii="Times New Roman" w:hAnsi="Times New Roman" w:cs="Times New Roman"/>
          <w:sz w:val="22"/>
          <w:lang w:val="it-CH"/>
        </w:rPr>
        <w:t>(i)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 professionale</w:t>
      </w:r>
      <w:r w:rsidR="009E3C7F" w:rsidRPr="00DD67D9">
        <w:rPr>
          <w:rFonts w:ascii="Times New Roman" w:hAnsi="Times New Roman" w:cs="Times New Roman"/>
          <w:sz w:val="22"/>
          <w:lang w:val="it-CH"/>
        </w:rPr>
        <w:t>(i)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 di base</w:t>
      </w:r>
      <w:r w:rsidRPr="00DD67D9">
        <w:rPr>
          <w:rFonts w:ascii="Times New Roman" w:hAnsi="Times New Roman" w:cs="Times New Roman"/>
          <w:sz w:val="22"/>
          <w:lang w:val="it-CH"/>
        </w:rPr>
        <w:t>];</w:t>
      </w:r>
    </w:p>
    <w:p w14:paraId="4C2CD2D7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  <w:t>[denominazione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(i) dei titoli </w:t>
      </w:r>
      <w:r w:rsidR="002816AB" w:rsidRPr="00DD67D9">
        <w:rPr>
          <w:rFonts w:ascii="Times New Roman" w:hAnsi="Times New Roman" w:cs="Times New Roman"/>
          <w:sz w:val="22"/>
          <w:lang w:val="it-CH"/>
        </w:rPr>
        <w:t>della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 formazione professionale superiore</w:t>
      </w:r>
      <w:r w:rsidRPr="00DD67D9">
        <w:rPr>
          <w:rFonts w:ascii="Times New Roman" w:hAnsi="Times New Roman" w:cs="Times New Roman"/>
          <w:sz w:val="22"/>
          <w:lang w:val="it-CH"/>
        </w:rPr>
        <w:t>];</w:t>
      </w:r>
    </w:p>
    <w:p w14:paraId="6EA1708C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c.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[denominazione(i) dei titoli riconosciuti </w:t>
      </w:r>
      <w:r w:rsidR="002816AB" w:rsidRPr="00DD67D9">
        <w:rPr>
          <w:rFonts w:ascii="Times New Roman" w:hAnsi="Times New Roman" w:cs="Times New Roman"/>
          <w:sz w:val="22"/>
          <w:lang w:val="it-CH"/>
        </w:rPr>
        <w:t>della</w:t>
      </w:r>
      <w:r w:rsidR="000A70A4" w:rsidRPr="00DD67D9">
        <w:rPr>
          <w:rFonts w:ascii="Times New Roman" w:hAnsi="Times New Roman" w:cs="Times New Roman"/>
          <w:sz w:val="22"/>
          <w:lang w:val="it-CH"/>
        </w:rPr>
        <w:t xml:space="preserve"> formazione professionale continua]</w:t>
      </w:r>
      <w:r w:rsidRPr="00DD67D9">
        <w:rPr>
          <w:rFonts w:ascii="Times New Roman" w:hAnsi="Times New Roman" w:cs="Times New Roman"/>
          <w:sz w:val="22"/>
          <w:lang w:val="it-CH"/>
        </w:rPr>
        <w:t>.</w:t>
      </w:r>
    </w:p>
    <w:p w14:paraId="4267A105" w14:textId="77777777" w:rsidR="00B241D5" w:rsidRPr="00F929E9" w:rsidRDefault="009E3C7F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lastRenderedPageBreak/>
        <w:t>2</w:t>
      </w:r>
      <w:r w:rsidR="000A70A4" w:rsidRPr="00F929E9">
        <w:rPr>
          <w:rFonts w:ascii="Times New Roman" w:hAnsi="Times New Roman" w:cs="Times New Roman"/>
          <w:sz w:val="22"/>
          <w:lang w:val="it-CH"/>
        </w:rPr>
        <w:t xml:space="preserve"> Il </w:t>
      </w:r>
      <w:r w:rsidR="00A202AD" w:rsidRPr="00F929E9">
        <w:rPr>
          <w:rFonts w:ascii="Times New Roman" w:hAnsi="Times New Roman" w:cs="Times New Roman"/>
          <w:sz w:val="22"/>
          <w:lang w:val="it-CH"/>
        </w:rPr>
        <w:t>f</w:t>
      </w:r>
      <w:r w:rsidR="000A70A4" w:rsidRPr="00F929E9">
        <w:rPr>
          <w:rFonts w:ascii="Times New Roman" w:hAnsi="Times New Roman" w:cs="Times New Roman"/>
          <w:sz w:val="22"/>
          <w:lang w:val="it-CH"/>
        </w:rPr>
        <w:t xml:space="preserve">ondo è valido per </w:t>
      </w:r>
      <w:r w:rsidR="00DD67D9" w:rsidRPr="00F929E9">
        <w:rPr>
          <w:rFonts w:ascii="Times New Roman" w:hAnsi="Times New Roman" w:cs="Times New Roman"/>
          <w:sz w:val="22"/>
          <w:lang w:val="it-CH"/>
        </w:rPr>
        <w:t xml:space="preserve">tutte </w:t>
      </w:r>
      <w:r w:rsidR="000A70A4" w:rsidRPr="00F929E9">
        <w:rPr>
          <w:rFonts w:ascii="Times New Roman" w:hAnsi="Times New Roman" w:cs="Times New Roman"/>
          <w:sz w:val="22"/>
          <w:lang w:val="it-CH"/>
        </w:rPr>
        <w:t xml:space="preserve">le aziende o parti di aziende </w:t>
      </w:r>
      <w:r w:rsidR="00DD67D9" w:rsidRPr="00F929E9">
        <w:rPr>
          <w:rFonts w:ascii="Times New Roman" w:hAnsi="Times New Roman" w:cs="Times New Roman"/>
          <w:sz w:val="22"/>
          <w:lang w:val="it-CH"/>
        </w:rPr>
        <w:t>se almeno una persona dispone di un titolo professionale riconosciuto di cui [al capoverso 1 lettere a-c]. Inoltre, è valido per tutte le altre persone che svolgono attività tipiche del settore di cui al capoverso 1 anche se non possiedono il titolo corrispondente</w:t>
      </w:r>
      <w:r w:rsidR="000A70A4" w:rsidRPr="00F929E9">
        <w:rPr>
          <w:rFonts w:ascii="Times New Roman" w:hAnsi="Times New Roman" w:cs="Times New Roman"/>
          <w:sz w:val="22"/>
          <w:szCs w:val="22"/>
          <w:lang w:val="it-CH"/>
        </w:rPr>
        <w:t>.</w:t>
      </w:r>
    </w:p>
    <w:p w14:paraId="1C9927E4" w14:textId="77777777" w:rsidR="000A70A4" w:rsidRPr="00DD67D9" w:rsidRDefault="000A70A4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3A9C1EF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6</w:t>
      </w:r>
      <w:r w:rsidRPr="00DD67D9">
        <w:rPr>
          <w:rFonts w:ascii="Times New Roman" w:hAnsi="Times New Roman" w:cs="Times New Roman"/>
          <w:b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Validità per la singola azienda o parte di azienda</w:t>
      </w:r>
    </w:p>
    <w:p w14:paraId="125C81A3" w14:textId="77777777" w:rsidR="00B241D5" w:rsidRPr="00DD67D9" w:rsidRDefault="00B241D5" w:rsidP="009D3171">
      <w:pPr>
        <w:pStyle w:val="Textkrper"/>
        <w:jc w:val="both"/>
        <w:rPr>
          <w:rFonts w:ascii="Times New Roman" w:hAnsi="Times New Roman" w:cs="Times New Roman"/>
          <w:szCs w:val="24"/>
          <w:lang w:val="it-CH"/>
        </w:rPr>
      </w:pPr>
      <w:r w:rsidRPr="00DD67D9">
        <w:rPr>
          <w:rFonts w:ascii="Times New Roman" w:hAnsi="Times New Roman" w:cs="Times New Roman"/>
          <w:szCs w:val="24"/>
          <w:lang w:val="it-CH"/>
        </w:rPr>
        <w:t xml:space="preserve">Il </w:t>
      </w:r>
      <w:r w:rsidR="00A202AD" w:rsidRPr="00DD67D9">
        <w:rPr>
          <w:rFonts w:ascii="Times New Roman" w:hAnsi="Times New Roman" w:cs="Times New Roman"/>
          <w:szCs w:val="24"/>
          <w:lang w:val="it-CH"/>
        </w:rPr>
        <w:t>f</w:t>
      </w:r>
      <w:r w:rsidRPr="00DD67D9">
        <w:rPr>
          <w:rFonts w:ascii="Times New Roman" w:hAnsi="Times New Roman" w:cs="Times New Roman"/>
          <w:szCs w:val="24"/>
          <w:lang w:val="it-CH"/>
        </w:rPr>
        <w:t xml:space="preserve">ondo è valido per le aziende o parti di aziende che rientrano nel </w:t>
      </w:r>
      <w:r w:rsidR="009E3C7F" w:rsidRPr="00DD67D9">
        <w:rPr>
          <w:rFonts w:ascii="Times New Roman" w:hAnsi="Times New Roman" w:cs="Times New Roman"/>
          <w:szCs w:val="24"/>
          <w:lang w:val="it-CH"/>
        </w:rPr>
        <w:t xml:space="preserve">suo </w:t>
      </w:r>
      <w:r w:rsidRPr="00DD67D9">
        <w:rPr>
          <w:rFonts w:ascii="Times New Roman" w:hAnsi="Times New Roman" w:cs="Times New Roman"/>
          <w:szCs w:val="24"/>
          <w:lang w:val="it-CH"/>
        </w:rPr>
        <w:t>campo d’applicazione territoriale, aziendale e personale.</w:t>
      </w:r>
    </w:p>
    <w:p w14:paraId="01E5FB8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6EEEE4B8" w14:textId="77777777" w:rsidR="000F4347" w:rsidRPr="00DD67D9" w:rsidRDefault="000F4347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DC96B0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lang w:val="it-CH"/>
        </w:rPr>
      </w:pPr>
      <w:r w:rsidRPr="00DD67D9">
        <w:rPr>
          <w:rFonts w:ascii="Times New Roman" w:hAnsi="Times New Roman" w:cs="Times New Roman"/>
          <w:b/>
          <w:bCs/>
          <w:sz w:val="24"/>
          <w:lang w:val="it-CH"/>
        </w:rPr>
        <w:t>Sezione 3:</w:t>
      </w:r>
      <w:r w:rsidRPr="00DD67D9">
        <w:rPr>
          <w:rFonts w:ascii="Times New Roman" w:hAnsi="Times New Roman" w:cs="Times New Roman"/>
          <w:b/>
          <w:bCs/>
          <w:sz w:val="24"/>
          <w:lang w:val="it-CH"/>
        </w:rPr>
        <w:tab/>
        <w:t>Prestazioni</w:t>
      </w:r>
    </w:p>
    <w:p w14:paraId="131B794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00795A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7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[nessun</w:t>
      </w:r>
      <w:r w:rsidR="00CE5B09" w:rsidRPr="00DD67D9">
        <w:rPr>
          <w:rFonts w:ascii="Times New Roman" w:hAnsi="Times New Roman" w:cs="Times New Roman"/>
          <w:sz w:val="22"/>
          <w:lang w:val="it-CH"/>
        </w:rPr>
        <w:t xml:space="preserve"> titolo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in quanto questa sezione comprende un solo articolo]</w:t>
      </w:r>
    </w:p>
    <w:p w14:paraId="5E059FE7" w14:textId="77777777" w:rsidR="00B241D5" w:rsidRPr="00DD67D9" w:rsidRDefault="00B241D5" w:rsidP="009D3171">
      <w:pPr>
        <w:pStyle w:val="Textkrper"/>
        <w:jc w:val="both"/>
        <w:rPr>
          <w:rFonts w:ascii="Times New Roman" w:hAnsi="Times New Roman" w:cs="Times New Roman"/>
          <w:lang w:val="it-CH"/>
        </w:rPr>
      </w:pPr>
      <w:r w:rsidRPr="00DD67D9">
        <w:rPr>
          <w:rFonts w:ascii="Times New Roman" w:hAnsi="Times New Roman" w:cs="Times New Roman"/>
          <w:lang w:val="it-CH"/>
        </w:rPr>
        <w:t xml:space="preserve">Nel campo della formazione professionale di base, della formazione professionale superiore e della formazione professionale continua, il </w:t>
      </w:r>
      <w:r w:rsidR="002F453B" w:rsidRPr="00DD67D9">
        <w:rPr>
          <w:rFonts w:ascii="Times New Roman" w:hAnsi="Times New Roman" w:cs="Times New Roman"/>
          <w:lang w:val="it-CH"/>
        </w:rPr>
        <w:t>f</w:t>
      </w:r>
      <w:r w:rsidRPr="00DD67D9">
        <w:rPr>
          <w:rFonts w:ascii="Times New Roman" w:hAnsi="Times New Roman" w:cs="Times New Roman"/>
          <w:lang w:val="it-CH"/>
        </w:rPr>
        <w:t>ondo contribuisce al finanziamento dei seguenti provvedimenti:</w:t>
      </w:r>
    </w:p>
    <w:p w14:paraId="18D45882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i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i/>
          <w:sz w:val="22"/>
          <w:szCs w:val="20"/>
          <w:lang w:val="it-CH"/>
        </w:rPr>
        <w:t>Proposte:</w:t>
      </w:r>
    </w:p>
    <w:p w14:paraId="255422CF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a.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>sviluppo e mantenimento di un sistema completo di formazione professionale di base, formazione professionale superiore e formazione professionale continua</w:t>
      </w:r>
      <w:r w:rsidR="003B2B98" w:rsidRPr="00DD67D9">
        <w:rPr>
          <w:rFonts w:ascii="Times New Roman" w:hAnsi="Times New Roman" w:cs="Times New Roman"/>
          <w:sz w:val="22"/>
          <w:szCs w:val="20"/>
          <w:lang w:val="it-CH"/>
        </w:rPr>
        <w:t>; d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etto sistema comprende in particolare: analisi, sviluppo, progetti pilota, provvedimenti di introduzione e attuazione, informazione, trasmissione di sapere e controlling;</w:t>
      </w:r>
    </w:p>
    <w:p w14:paraId="27C81FCA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b.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 xml:space="preserve">sviluppo, mantenimento e aggiornamento </w:t>
      </w:r>
      <w:r w:rsidR="004F0FE1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delle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ordinanze sulla formazione professionale di base e </w:t>
      </w:r>
      <w:r w:rsidR="004F0FE1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dei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regolamenti d’esame per </w:t>
      </w:r>
      <w:r w:rsidR="004F0FE1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le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offerte formative della formazione professionale superiore;</w:t>
      </w:r>
    </w:p>
    <w:p w14:paraId="437851E3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c.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>sviluppo, mantenimento e aggiornamento di documenti e materiale didattico per il sostegno della formazione professionale di base, della formazione professionale superiore e della formazione professionale continua;</w:t>
      </w:r>
    </w:p>
    <w:p w14:paraId="79EA5292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d.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 xml:space="preserve">sviluppo, mantenimento e aggiornamento </w:t>
      </w:r>
      <w:r w:rsidR="00E35A72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delle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procedure di qualificazione </w:t>
      </w:r>
      <w:r w:rsidR="004B6103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delle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offerte formative sostenute dall’associazione [denominazione], coordinamento e vigilanza delle procedure, compresa la garanzia della qualità;</w:t>
      </w:r>
    </w:p>
    <w:p w14:paraId="2D6E9477" w14:textId="77777777" w:rsidR="00B241D5" w:rsidRPr="00DD67D9" w:rsidRDefault="00B241D5" w:rsidP="009D3171">
      <w:pPr>
        <w:autoSpaceDE w:val="0"/>
        <w:autoSpaceDN w:val="0"/>
        <w:adjustRightInd w:val="0"/>
        <w:ind w:left="1416" w:hanging="711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e.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 xml:space="preserve">reclutamento e promozione delle </w:t>
      </w:r>
      <w:r w:rsidR="002F68CF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nuove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leve nella formazione professionale di base, nella formazione professionale superiore e nella formazione professionale continua;</w:t>
      </w:r>
    </w:p>
    <w:p w14:paraId="06426297" w14:textId="77777777" w:rsidR="00B241D5" w:rsidRPr="00DD67D9" w:rsidRDefault="00B241D5" w:rsidP="009D3171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f.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 xml:space="preserve">partecipazione a </w:t>
      </w:r>
      <w:r w:rsidR="002F68CF" w:rsidRPr="00DD67D9">
        <w:rPr>
          <w:rFonts w:ascii="Times New Roman" w:hAnsi="Times New Roman" w:cs="Times New Roman"/>
          <w:sz w:val="22"/>
          <w:szCs w:val="20"/>
          <w:lang w:val="it-CH"/>
        </w:rPr>
        <w:t>campionati delle professioni nazionali e internazionali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;</w:t>
      </w:r>
    </w:p>
    <w:p w14:paraId="3BCCE7AA" w14:textId="77777777" w:rsidR="00B241D5" w:rsidRPr="00DD67D9" w:rsidRDefault="00B241D5" w:rsidP="009D3171">
      <w:pPr>
        <w:autoSpaceDE w:val="0"/>
        <w:autoSpaceDN w:val="0"/>
        <w:adjustRightInd w:val="0"/>
        <w:ind w:firstLine="705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g.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>sviluppo, mantenimento e aggiornamento di procedure di valutazione;</w:t>
      </w:r>
    </w:p>
    <w:p w14:paraId="3EE03010" w14:textId="77777777" w:rsidR="00B241D5" w:rsidRPr="00DD67D9" w:rsidRDefault="00B241D5" w:rsidP="009D3171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 w:cs="Times New Roman"/>
          <w:sz w:val="22"/>
          <w:szCs w:val="20"/>
          <w:lang w:val="it-CH"/>
        </w:rPr>
      </w:pPr>
      <w:r w:rsidRPr="00DD67D9">
        <w:rPr>
          <w:rFonts w:ascii="Times New Roman" w:hAnsi="Times New Roman" w:cs="Times New Roman"/>
          <w:sz w:val="22"/>
          <w:szCs w:val="20"/>
          <w:lang w:val="it-CH"/>
        </w:rPr>
        <w:t>h.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ab/>
        <w:t xml:space="preserve">copertura delle spese organizzative, amministrative e di controllo sostenute dall’associazione [denominazione] in relazione ai compiti </w:t>
      </w:r>
      <w:r w:rsidR="00E35A72" w:rsidRPr="00DD67D9">
        <w:rPr>
          <w:rFonts w:ascii="Times New Roman" w:hAnsi="Times New Roman" w:cs="Times New Roman"/>
          <w:sz w:val="22"/>
          <w:szCs w:val="20"/>
          <w:lang w:val="it-CH"/>
        </w:rPr>
        <w:t xml:space="preserve">svolti </w:t>
      </w:r>
      <w:r w:rsidRPr="00DD67D9">
        <w:rPr>
          <w:rFonts w:ascii="Times New Roman" w:hAnsi="Times New Roman" w:cs="Times New Roman"/>
          <w:sz w:val="22"/>
          <w:szCs w:val="20"/>
          <w:lang w:val="it-CH"/>
        </w:rPr>
        <w:t>nella formazione professionale di base, nella formazione professionale superiore e nella formazione professionale continua.</w:t>
      </w:r>
    </w:p>
    <w:p w14:paraId="39A09E58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61E7693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05BC354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lang w:val="it-CH"/>
        </w:rPr>
      </w:pPr>
      <w:r w:rsidRPr="00DD67D9">
        <w:rPr>
          <w:rFonts w:ascii="Times New Roman" w:hAnsi="Times New Roman" w:cs="Times New Roman"/>
          <w:b/>
          <w:bCs/>
          <w:sz w:val="24"/>
          <w:lang w:val="it-CH"/>
        </w:rPr>
        <w:t>Sezione 4:</w:t>
      </w:r>
      <w:r w:rsidRPr="00DD67D9">
        <w:rPr>
          <w:rFonts w:ascii="Times New Roman" w:hAnsi="Times New Roman" w:cs="Times New Roman"/>
          <w:b/>
          <w:bCs/>
          <w:sz w:val="24"/>
          <w:lang w:val="it-CH"/>
        </w:rPr>
        <w:tab/>
        <w:t>Finanziamento</w:t>
      </w:r>
    </w:p>
    <w:p w14:paraId="2053C30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486D90C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 xml:space="preserve">Art. </w:t>
      </w:r>
      <w:r w:rsidR="003B2B98" w:rsidRPr="00DD67D9">
        <w:rPr>
          <w:rFonts w:ascii="Times New Roman" w:hAnsi="Times New Roman" w:cs="Times New Roman"/>
          <w:b/>
          <w:sz w:val="22"/>
          <w:lang w:val="it-CH"/>
        </w:rPr>
        <w:t>8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Base </w:t>
      </w:r>
      <w:r w:rsidR="003B2B98" w:rsidRPr="00DD67D9">
        <w:rPr>
          <w:rFonts w:ascii="Times New Roman" w:hAnsi="Times New Roman" w:cs="Times New Roman"/>
          <w:sz w:val="22"/>
          <w:lang w:val="it-CH"/>
        </w:rPr>
        <w:t>di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calcolo</w:t>
      </w:r>
    </w:p>
    <w:p w14:paraId="2E58D73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La base per il calcolo dei contributi 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al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ondo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è </w:t>
      </w:r>
      <w:r w:rsidR="00902500" w:rsidRPr="00DD67D9">
        <w:rPr>
          <w:rFonts w:ascii="Times New Roman" w:hAnsi="Times New Roman" w:cs="Times New Roman"/>
          <w:sz w:val="22"/>
          <w:lang w:val="it-CH"/>
        </w:rPr>
        <w:t xml:space="preserve">costituita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dalla rispettiva azienda o parte di azienda di cui all’articolo 4 e </w:t>
      </w:r>
      <w:r w:rsidR="00902500" w:rsidRPr="00DD67D9">
        <w:rPr>
          <w:rFonts w:ascii="Times New Roman" w:hAnsi="Times New Roman" w:cs="Times New Roman"/>
          <w:sz w:val="22"/>
          <w:lang w:val="it-CH"/>
        </w:rPr>
        <w:t xml:space="preserve">dal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totale 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delle persone che svolgono attività </w:t>
      </w:r>
      <w:r w:rsidR="00902500" w:rsidRPr="00DD67D9">
        <w:rPr>
          <w:rFonts w:ascii="Times New Roman" w:hAnsi="Times New Roman" w:cs="Times New Roman"/>
          <w:sz w:val="22"/>
          <w:lang w:val="it-CH"/>
        </w:rPr>
        <w:t>tipiche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 del settore </w:t>
      </w:r>
      <w:r w:rsidRPr="00DD67D9">
        <w:rPr>
          <w:rFonts w:ascii="Times New Roman" w:hAnsi="Times New Roman" w:cs="Times New Roman"/>
          <w:sz w:val="22"/>
          <w:lang w:val="it-CH"/>
        </w:rPr>
        <w:t>di cui all’articolo 5.</w:t>
      </w:r>
    </w:p>
    <w:p w14:paraId="21457BE0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Il contributo viene calcolato sulla base dell’autodichiarazione dell’azienda. Qualora </w:t>
      </w:r>
      <w:r w:rsidR="00183BD6" w:rsidRPr="00DD67D9">
        <w:rPr>
          <w:rFonts w:ascii="Times New Roman" w:hAnsi="Times New Roman" w:cs="Times New Roman"/>
          <w:sz w:val="22"/>
          <w:lang w:val="it-CH"/>
        </w:rPr>
        <w:t>l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’azienda si rifiuti di </w:t>
      </w:r>
      <w:r w:rsidR="00D94763" w:rsidRPr="00DD67D9">
        <w:rPr>
          <w:rFonts w:ascii="Times New Roman" w:hAnsi="Times New Roman" w:cs="Times New Roman"/>
          <w:sz w:val="22"/>
          <w:lang w:val="it-CH"/>
        </w:rPr>
        <w:t xml:space="preserve">presentare </w:t>
      </w:r>
      <w:r w:rsidRPr="00DD67D9">
        <w:rPr>
          <w:rFonts w:ascii="Times New Roman" w:hAnsi="Times New Roman" w:cs="Times New Roman"/>
          <w:sz w:val="22"/>
          <w:lang w:val="it-CH"/>
        </w:rPr>
        <w:t>la dichiarazione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 o se quest</w:t>
      </w:r>
      <w:r w:rsidR="00183BD6" w:rsidRPr="00DD67D9">
        <w:rPr>
          <w:rFonts w:ascii="Times New Roman" w:hAnsi="Times New Roman" w:cs="Times New Roman"/>
          <w:sz w:val="22"/>
          <w:lang w:val="it-CH"/>
        </w:rPr>
        <w:t>’u</w:t>
      </w:r>
      <w:r w:rsidR="00150F86" w:rsidRPr="00DD67D9">
        <w:rPr>
          <w:rFonts w:ascii="Times New Roman" w:hAnsi="Times New Roman" w:cs="Times New Roman"/>
          <w:sz w:val="22"/>
          <w:lang w:val="it-CH"/>
        </w:rPr>
        <w:t>lt</w:t>
      </w:r>
      <w:r w:rsidR="00183BD6" w:rsidRPr="00DD67D9">
        <w:rPr>
          <w:rFonts w:ascii="Times New Roman" w:hAnsi="Times New Roman" w:cs="Times New Roman"/>
          <w:sz w:val="22"/>
          <w:lang w:val="it-CH"/>
        </w:rPr>
        <w:t>im</w:t>
      </w:r>
      <w:r w:rsidR="00C928A0" w:rsidRPr="00DD67D9">
        <w:rPr>
          <w:rFonts w:ascii="Times New Roman" w:hAnsi="Times New Roman" w:cs="Times New Roman"/>
          <w:sz w:val="22"/>
          <w:lang w:val="it-CH"/>
        </w:rPr>
        <w:t>a è evidentemente errata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, </w:t>
      </w:r>
      <w:r w:rsidR="00C928A0" w:rsidRPr="00DD67D9">
        <w:rPr>
          <w:rFonts w:ascii="Times New Roman" w:hAnsi="Times New Roman" w:cs="Times New Roman"/>
          <w:sz w:val="22"/>
          <w:lang w:val="it-CH"/>
        </w:rPr>
        <w:t xml:space="preserve">il contributo è </w:t>
      </w:r>
      <w:r w:rsidR="00C74041" w:rsidRPr="00DD67D9">
        <w:rPr>
          <w:rFonts w:ascii="Times New Roman" w:hAnsi="Times New Roman" w:cs="Times New Roman"/>
          <w:sz w:val="22"/>
          <w:lang w:val="it-CH"/>
        </w:rPr>
        <w:t xml:space="preserve">determinato </w:t>
      </w:r>
      <w:r w:rsidR="00C928A0" w:rsidRPr="00DD67D9">
        <w:rPr>
          <w:rFonts w:ascii="Times New Roman" w:hAnsi="Times New Roman" w:cs="Times New Roman"/>
          <w:sz w:val="22"/>
          <w:lang w:val="it-CH"/>
        </w:rPr>
        <w:t>in base 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una stima.</w:t>
      </w:r>
    </w:p>
    <w:p w14:paraId="01AE15DF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0E89C928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 xml:space="preserve">Art. </w:t>
      </w:r>
      <w:r w:rsidR="000C2362" w:rsidRPr="00DD67D9">
        <w:rPr>
          <w:rFonts w:ascii="Times New Roman" w:hAnsi="Times New Roman" w:cs="Times New Roman"/>
          <w:b/>
          <w:sz w:val="22"/>
          <w:lang w:val="it-CH"/>
        </w:rPr>
        <w:t>9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Contributi</w:t>
      </w:r>
    </w:p>
    <w:p w14:paraId="56F6BF6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 contributi </w:t>
      </w:r>
      <w:r w:rsidR="00005FDD" w:rsidRPr="00DD67D9">
        <w:rPr>
          <w:rFonts w:ascii="Times New Roman" w:hAnsi="Times New Roman" w:cs="Times New Roman"/>
          <w:sz w:val="22"/>
          <w:lang w:val="it-CH"/>
        </w:rPr>
        <w:t>si suddividono in</w:t>
      </w:r>
      <w:r w:rsidRPr="00DD67D9">
        <w:rPr>
          <w:rFonts w:ascii="Times New Roman" w:hAnsi="Times New Roman" w:cs="Times New Roman"/>
          <w:sz w:val="22"/>
          <w:lang w:val="it-CH"/>
        </w:rPr>
        <w:t>:</w:t>
      </w:r>
    </w:p>
    <w:p w14:paraId="5319A1EB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contributo per azienda </w:t>
      </w:r>
      <w:r w:rsidR="000C2362" w:rsidRPr="00DD67D9">
        <w:rPr>
          <w:rFonts w:ascii="Times New Roman" w:hAnsi="Times New Roman" w:cs="Times New Roman"/>
          <w:sz w:val="22"/>
          <w:lang w:val="it-CH"/>
        </w:rPr>
        <w:t>secondo l’articolo 4</w:t>
      </w:r>
      <w:r w:rsidRPr="00DD67D9">
        <w:rPr>
          <w:rFonts w:ascii="Times New Roman" w:hAnsi="Times New Roman" w:cs="Times New Roman"/>
          <w:sz w:val="22"/>
          <w:lang w:val="it-CH"/>
        </w:rPr>
        <w:t>: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[importo]</w:t>
      </w:r>
      <w:r w:rsidR="00DF5457" w:rsidRPr="00DD67D9">
        <w:rPr>
          <w:rFonts w:ascii="Times New Roman" w:hAnsi="Times New Roman" w:cs="Times New Roman"/>
          <w:sz w:val="22"/>
          <w:lang w:val="it-CH"/>
        </w:rPr>
        <w:t>.- franchi</w:t>
      </w:r>
    </w:p>
    <w:p w14:paraId="19658380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contributi pro capite </w:t>
      </w:r>
      <w:r w:rsidR="000C2362" w:rsidRPr="00DD67D9">
        <w:rPr>
          <w:rFonts w:ascii="Times New Roman" w:hAnsi="Times New Roman" w:cs="Times New Roman"/>
          <w:sz w:val="22"/>
          <w:lang w:val="it-CH"/>
        </w:rPr>
        <w:t xml:space="preserve">secondo </w:t>
      </w:r>
      <w:r w:rsidRPr="00DD67D9">
        <w:rPr>
          <w:rFonts w:ascii="Times New Roman" w:hAnsi="Times New Roman" w:cs="Times New Roman"/>
          <w:sz w:val="22"/>
          <w:lang w:val="it-CH"/>
        </w:rPr>
        <w:t>l’articolo 5</w:t>
      </w:r>
      <w:r w:rsidR="003B2B98" w:rsidRPr="00DD67D9">
        <w:rPr>
          <w:rFonts w:ascii="Times New Roman" w:hAnsi="Times New Roman" w:cs="Times New Roman"/>
          <w:sz w:val="22"/>
          <w:lang w:val="it-CH"/>
        </w:rPr>
        <w:t>:</w:t>
      </w:r>
      <w:r w:rsidR="003B2B98"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DF5457" w:rsidRPr="00DD67D9">
        <w:rPr>
          <w:rFonts w:ascii="Times New Roman" w:hAnsi="Times New Roman" w:cs="Times New Roman"/>
          <w:sz w:val="22"/>
          <w:lang w:val="it-CH"/>
        </w:rPr>
        <w:t>[importo].- franchi</w:t>
      </w:r>
    </w:p>
    <w:p w14:paraId="667271C8" w14:textId="77777777" w:rsidR="000C2362" w:rsidRPr="00DD67D9" w:rsidRDefault="000C2362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Le </w:t>
      </w:r>
      <w:r w:rsidR="00C928A0" w:rsidRPr="00DD67D9">
        <w:rPr>
          <w:rFonts w:ascii="Times New Roman" w:hAnsi="Times New Roman" w:cs="Times New Roman"/>
          <w:sz w:val="22"/>
          <w:lang w:val="it-CH"/>
        </w:rPr>
        <w:t>aziende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individuali sono </w:t>
      </w:r>
      <w:r w:rsidR="002F1F7B" w:rsidRPr="00DD67D9">
        <w:rPr>
          <w:rFonts w:ascii="Times New Roman" w:hAnsi="Times New Roman" w:cs="Times New Roman"/>
          <w:sz w:val="22"/>
          <w:lang w:val="it-CH"/>
        </w:rPr>
        <w:t>tenute al versamento di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contributi.</w:t>
      </w:r>
    </w:p>
    <w:p w14:paraId="4F83ECE8" w14:textId="77777777" w:rsidR="00B241D5" w:rsidRPr="00DD67D9" w:rsidRDefault="000C2362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3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>Per le persone in formazione non vengono riscossi contributi.</w:t>
      </w:r>
    </w:p>
    <w:p w14:paraId="132465AA" w14:textId="292E8A08" w:rsidR="00B241D5" w:rsidRPr="00DD67D9" w:rsidRDefault="000C2362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lastRenderedPageBreak/>
        <w:t>4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>Per</w:t>
      </w:r>
      <w:r w:rsidR="002F1F7B" w:rsidRPr="00DD67D9">
        <w:rPr>
          <w:rFonts w:ascii="Times New Roman" w:hAnsi="Times New Roman" w:cs="Times New Roman"/>
          <w:sz w:val="22"/>
          <w:lang w:val="it-CH"/>
        </w:rPr>
        <w:t xml:space="preserve"> le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persone occupate a tempo parziale devono essere versati contributi qualora siano assoggettate all’obbligo assicurativo secondo la legge federale del 25 giugno 1982</w:t>
      </w:r>
      <w:r w:rsidR="00B241D5" w:rsidRPr="00DD67D9">
        <w:rPr>
          <w:rStyle w:val="Funotenzeichen"/>
          <w:rFonts w:ascii="Times New Roman" w:hAnsi="Times New Roman" w:cs="Times New Roman"/>
          <w:sz w:val="22"/>
          <w:lang w:val="it-CH"/>
        </w:rPr>
        <w:footnoteReference w:id="2"/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sulla previdenza professionale per la vecchiaia, i superstiti e l’invalidità.</w:t>
      </w:r>
    </w:p>
    <w:p w14:paraId="765CD504" w14:textId="77777777" w:rsidR="00B241D5" w:rsidRPr="00DD67D9" w:rsidRDefault="000C2362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5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>I contributi devono essere versati ogni anno.</w:t>
      </w:r>
    </w:p>
    <w:p w14:paraId="6264E560" w14:textId="77777777" w:rsidR="00B241D5" w:rsidRPr="00DD67D9" w:rsidRDefault="000C2362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6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I contributi di cui al capoverso 1 lettere a e b sono considerati indicizzati </w:t>
      </w:r>
      <w:r w:rsidR="002F1F7B" w:rsidRPr="00DD67D9">
        <w:rPr>
          <w:rFonts w:ascii="Times New Roman" w:hAnsi="Times New Roman" w:cs="Times New Roman"/>
          <w:sz w:val="22"/>
          <w:lang w:val="it-CH"/>
        </w:rPr>
        <w:t xml:space="preserve">in base </w:t>
      </w:r>
      <w:r w:rsidR="00B241D5" w:rsidRPr="00DD67D9">
        <w:rPr>
          <w:rFonts w:ascii="Times New Roman" w:hAnsi="Times New Roman" w:cs="Times New Roman"/>
          <w:sz w:val="22"/>
          <w:lang w:val="it-CH"/>
        </w:rPr>
        <w:t>all’indice nazionale dei prezzi al consumo del [data].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Il [organo competente secondo il regolamento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ondo] verifica annualmente i contributi e li adegua </w:t>
      </w:r>
      <w:r w:rsidR="002F1F7B" w:rsidRPr="00DD67D9">
        <w:rPr>
          <w:rFonts w:ascii="Times New Roman" w:hAnsi="Times New Roman" w:cs="Times New Roman"/>
          <w:sz w:val="22"/>
          <w:lang w:val="it-CH"/>
        </w:rPr>
        <w:t>in funzione de</w:t>
      </w:r>
      <w:r w:rsidR="00B241D5" w:rsidRPr="00DD67D9">
        <w:rPr>
          <w:rFonts w:ascii="Times New Roman" w:hAnsi="Times New Roman" w:cs="Times New Roman"/>
          <w:sz w:val="22"/>
          <w:lang w:val="it-CH"/>
        </w:rPr>
        <w:t>ll’indice nazionale dei prezzi al consumo.</w:t>
      </w:r>
    </w:p>
    <w:p w14:paraId="53C0758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1968C9B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0C2362" w:rsidRPr="00DD67D9">
        <w:rPr>
          <w:rFonts w:ascii="Times New Roman" w:hAnsi="Times New Roman" w:cs="Times New Roman"/>
          <w:b/>
          <w:sz w:val="22"/>
          <w:lang w:val="it-CH"/>
        </w:rPr>
        <w:t>0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Esenzione dall’obbligo di contribuzione</w:t>
      </w:r>
    </w:p>
    <w:p w14:paraId="640ED12F" w14:textId="77777777" w:rsidR="005069FD" w:rsidRPr="00DD67D9" w:rsidRDefault="005069FD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0A063E" w:rsidRPr="00DD67D9">
        <w:rPr>
          <w:rFonts w:ascii="Times New Roman" w:hAnsi="Times New Roman" w:cs="Times New Roman"/>
          <w:sz w:val="22"/>
          <w:lang w:val="it-CH"/>
        </w:rPr>
        <w:t>Le aziende che desiderano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esentat</w:t>
      </w:r>
      <w:r w:rsidR="000A063E" w:rsidRPr="00DD67D9">
        <w:rPr>
          <w:rFonts w:ascii="Times New Roman" w:hAnsi="Times New Roman" w:cs="Times New Roman"/>
          <w:sz w:val="22"/>
          <w:lang w:val="it-CH"/>
        </w:rPr>
        <w:t>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totalmente o parzialmente dall’obbligo di contribuzione </w:t>
      </w:r>
      <w:r w:rsidR="000A063E" w:rsidRPr="00DD67D9">
        <w:rPr>
          <w:rFonts w:ascii="Times New Roman" w:hAnsi="Times New Roman" w:cs="Times New Roman"/>
          <w:sz w:val="22"/>
          <w:lang w:val="it-CH"/>
        </w:rPr>
        <w:t>devono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inoltrare al [organo competente secondo il regolamento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ondo] una richiesta motivata.</w:t>
      </w:r>
    </w:p>
    <w:p w14:paraId="277BED44" w14:textId="77777777" w:rsidR="00B241D5" w:rsidRPr="00DD67D9" w:rsidRDefault="005069FD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L’esenzione dall’obbligo di contribuzione è disciplinat</w:t>
      </w:r>
      <w:r w:rsidRPr="00DD67D9">
        <w:rPr>
          <w:rFonts w:ascii="Times New Roman" w:hAnsi="Times New Roman" w:cs="Times New Roman"/>
          <w:sz w:val="22"/>
          <w:lang w:val="it-CH"/>
        </w:rPr>
        <w:t>a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dall’art</w:t>
      </w:r>
      <w:r w:rsidR="000C2362" w:rsidRPr="00DD67D9">
        <w:rPr>
          <w:rFonts w:ascii="Times New Roman" w:hAnsi="Times New Roman" w:cs="Times New Roman"/>
          <w:sz w:val="22"/>
          <w:lang w:val="it-CH"/>
        </w:rPr>
        <w:t>icolo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60 </w:t>
      </w:r>
      <w:r w:rsidR="000C2362" w:rsidRPr="00DD67D9">
        <w:rPr>
          <w:rFonts w:ascii="Times New Roman" w:hAnsi="Times New Roman" w:cs="Times New Roman"/>
          <w:sz w:val="22"/>
          <w:lang w:val="it-CH"/>
        </w:rPr>
        <w:t>capoverso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6 LFPr in combinato disposto con l’art</w:t>
      </w:r>
      <w:r w:rsidR="000C2362" w:rsidRPr="00DD67D9">
        <w:rPr>
          <w:rFonts w:ascii="Times New Roman" w:hAnsi="Times New Roman" w:cs="Times New Roman"/>
          <w:sz w:val="22"/>
          <w:lang w:val="it-CH"/>
        </w:rPr>
        <w:t>icolo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68</w:t>
      </w:r>
      <w:r w:rsidR="000C2362" w:rsidRPr="00DD67D9">
        <w:rPr>
          <w:rFonts w:ascii="Times New Roman" w:hAnsi="Times New Roman" w:cs="Times New Roman"/>
          <w:i/>
          <w:sz w:val="22"/>
          <w:lang w:val="it-CH"/>
        </w:rPr>
        <w:t>a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0C2362" w:rsidRPr="00DD67D9">
        <w:rPr>
          <w:rFonts w:ascii="Times New Roman" w:hAnsi="Times New Roman" w:cs="Times New Roman"/>
          <w:sz w:val="22"/>
          <w:lang w:val="it-CH"/>
        </w:rPr>
        <w:t>capoverso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0C2362" w:rsidRPr="00DD67D9">
        <w:rPr>
          <w:rFonts w:ascii="Times New Roman" w:hAnsi="Times New Roman" w:cs="Times New Roman"/>
          <w:sz w:val="22"/>
          <w:lang w:val="it-CH"/>
        </w:rPr>
        <w:t>2</w:t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dell’ordinanza del 19 novembre 2003</w:t>
      </w:r>
      <w:r w:rsidR="00B241D5" w:rsidRPr="00DD67D9">
        <w:rPr>
          <w:rStyle w:val="Funotenzeichen"/>
          <w:rFonts w:ascii="Times New Roman" w:hAnsi="Times New Roman" w:cs="Times New Roman"/>
          <w:sz w:val="22"/>
          <w:lang w:val="it-CH"/>
        </w:rPr>
        <w:footnoteReference w:id="3"/>
      </w:r>
      <w:r w:rsidR="00B241D5" w:rsidRPr="00DD67D9">
        <w:rPr>
          <w:rFonts w:ascii="Times New Roman" w:hAnsi="Times New Roman" w:cs="Times New Roman"/>
          <w:sz w:val="22"/>
          <w:lang w:val="it-CH"/>
        </w:rPr>
        <w:t xml:space="preserve"> sulla formazione professionale.</w:t>
      </w:r>
    </w:p>
    <w:p w14:paraId="584A007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A0119B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 xml:space="preserve">Art. </w:t>
      </w:r>
      <w:r w:rsidR="000C2362" w:rsidRPr="00DD67D9">
        <w:rPr>
          <w:rFonts w:ascii="Times New Roman" w:hAnsi="Times New Roman" w:cs="Times New Roman"/>
          <w:b/>
          <w:sz w:val="22"/>
          <w:lang w:val="it-CH"/>
        </w:rPr>
        <w:t>1</w:t>
      </w:r>
      <w:r w:rsidRPr="00DD67D9">
        <w:rPr>
          <w:rFonts w:ascii="Times New Roman" w:hAnsi="Times New Roman" w:cs="Times New Roman"/>
          <w:b/>
          <w:sz w:val="22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Limitazione delle entrate</w:t>
      </w:r>
    </w:p>
    <w:p w14:paraId="07437F2F" w14:textId="77777777" w:rsidR="00B241D5" w:rsidRPr="00DD67D9" w:rsidRDefault="00BA6797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241D5" w:rsidRPr="00DD67D9">
        <w:rPr>
          <w:rFonts w:ascii="Times New Roman" w:hAnsi="Times New Roman" w:cs="Times New Roman"/>
          <w:sz w:val="22"/>
          <w:lang w:val="it-CH"/>
        </w:rPr>
        <w:t>Le entrate provenienti dai contributi non possono superare i costi totali delle prestazioni di cui all’articolo 7, tenuto conto della costituzione di adeguate riserve.</w:t>
      </w:r>
    </w:p>
    <w:p w14:paraId="4372E66C" w14:textId="77777777" w:rsidR="00B241D5" w:rsidRPr="00DD67D9" w:rsidRDefault="00BA6797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Le riserve non devono superare il 50 per cento dei contributi totali versati, calcolati su una media di sei anni.</w:t>
      </w:r>
    </w:p>
    <w:p w14:paraId="29FE877D" w14:textId="77777777" w:rsidR="000F4347" w:rsidRPr="00DD67D9" w:rsidRDefault="000F4347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4A0A07A" w14:textId="77777777" w:rsidR="000F4347" w:rsidRPr="00DD67D9" w:rsidRDefault="000F4347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4139288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lang w:val="it-CH"/>
        </w:rPr>
      </w:pPr>
      <w:r w:rsidRPr="00DD67D9">
        <w:rPr>
          <w:rFonts w:ascii="Times New Roman" w:hAnsi="Times New Roman" w:cs="Times New Roman"/>
          <w:b/>
          <w:bCs/>
          <w:sz w:val="24"/>
          <w:lang w:val="it-CH"/>
        </w:rPr>
        <w:t>Sezione 5:</w:t>
      </w:r>
      <w:r w:rsidRPr="00DD67D9">
        <w:rPr>
          <w:rFonts w:ascii="Times New Roman" w:hAnsi="Times New Roman" w:cs="Times New Roman"/>
          <w:b/>
          <w:bCs/>
          <w:sz w:val="24"/>
          <w:lang w:val="it-CH"/>
        </w:rPr>
        <w:tab/>
        <w:t>Organizzazione, revisione e vigilanza</w:t>
      </w:r>
    </w:p>
    <w:p w14:paraId="48D4DCC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9274D7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[organo competente secondo il regolamento del fondo]</w:t>
      </w:r>
    </w:p>
    <w:p w14:paraId="63D3690E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Il [organo competente secondo il regolamento del fondo] dell’associazione [denominazione] è l’organo di vigilanza del fondo ed è responsabile della sua gestione strategica.</w:t>
      </w:r>
    </w:p>
    <w:p w14:paraId="407218F9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3E7CDC" w:rsidRPr="00DD67D9">
        <w:rPr>
          <w:rFonts w:ascii="Times New Roman" w:hAnsi="Times New Roman" w:cs="Times New Roman"/>
          <w:sz w:val="22"/>
          <w:lang w:val="it-CH"/>
        </w:rPr>
        <w:t>A</w:t>
      </w:r>
      <w:r w:rsidRPr="00DD67D9">
        <w:rPr>
          <w:rFonts w:ascii="Times New Roman" w:hAnsi="Times New Roman" w:cs="Times New Roman"/>
          <w:sz w:val="22"/>
          <w:lang w:val="it-CH"/>
        </w:rPr>
        <w:t>ssolve in particolare i seguenti compiti:</w:t>
      </w:r>
    </w:p>
    <w:p w14:paraId="7434EEF5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2"/>
          <w:lang w:val="it-CH"/>
        </w:rPr>
      </w:pPr>
      <w:r w:rsidRPr="00DD67D9">
        <w:rPr>
          <w:rFonts w:ascii="Times New Roman" w:hAnsi="Times New Roman" w:cs="Times New Roman"/>
          <w:i/>
          <w:sz w:val="22"/>
          <w:lang w:val="it-CH"/>
        </w:rPr>
        <w:t>Proposte:</w:t>
      </w:r>
    </w:p>
    <w:p w14:paraId="2DC0196D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nomina dei membri della Commissione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ondo;</w:t>
      </w:r>
    </w:p>
    <w:p w14:paraId="3D9C3E25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E872F7" w:rsidRPr="00DD67D9">
        <w:rPr>
          <w:rFonts w:ascii="Times New Roman" w:hAnsi="Times New Roman" w:cs="Times New Roman"/>
          <w:sz w:val="22"/>
          <w:lang w:val="it-CH"/>
        </w:rPr>
        <w:t xml:space="preserve">costituzione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di </w:t>
      </w:r>
      <w:r w:rsidR="002B0E6C" w:rsidRPr="00DD67D9">
        <w:rPr>
          <w:rFonts w:ascii="Times New Roman" w:hAnsi="Times New Roman" w:cs="Times New Roman"/>
          <w:sz w:val="22"/>
          <w:lang w:val="it-CH"/>
        </w:rPr>
        <w:t>una segreteria</w:t>
      </w:r>
      <w:r w:rsidRPr="00DD67D9">
        <w:rPr>
          <w:rFonts w:ascii="Times New Roman" w:hAnsi="Times New Roman" w:cs="Times New Roman"/>
          <w:sz w:val="22"/>
          <w:lang w:val="it-CH"/>
        </w:rPr>
        <w:t>;</w:t>
      </w:r>
    </w:p>
    <w:p w14:paraId="2E08D939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c.</w:t>
      </w:r>
      <w:r w:rsidRPr="00DD67D9">
        <w:rPr>
          <w:rFonts w:ascii="Times New Roman" w:hAnsi="Times New Roman" w:cs="Times New Roman"/>
          <w:sz w:val="22"/>
          <w:lang w:val="it-CH"/>
        </w:rPr>
        <w:tab/>
        <w:t>emanazione di un regolamento esecutivo;</w:t>
      </w:r>
    </w:p>
    <w:p w14:paraId="248239FF" w14:textId="77777777" w:rsidR="00B241D5" w:rsidRPr="00DD67D9" w:rsidRDefault="00B241D5" w:rsidP="009D3171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d.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5069FD" w:rsidRPr="00DD67D9">
        <w:rPr>
          <w:rFonts w:ascii="Times New Roman" w:hAnsi="Times New Roman" w:cs="Times New Roman"/>
          <w:sz w:val="22"/>
          <w:lang w:val="it-CH"/>
        </w:rPr>
        <w:t>ri</w:t>
      </w:r>
      <w:r w:rsidR="00BA6797" w:rsidRPr="00DD67D9">
        <w:rPr>
          <w:rFonts w:ascii="Times New Roman" w:hAnsi="Times New Roman" w:cs="Times New Roman"/>
          <w:sz w:val="22"/>
          <w:lang w:val="it-CH"/>
        </w:rPr>
        <w:t>definizione periodica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A6797" w:rsidRPr="00DD67D9">
        <w:rPr>
          <w:rFonts w:ascii="Times New Roman" w:hAnsi="Times New Roman" w:cs="Times New Roman"/>
          <w:sz w:val="22"/>
          <w:lang w:val="it-CH"/>
        </w:rPr>
        <w:t>del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l’elenco delle prestazioni e </w:t>
      </w:r>
      <w:r w:rsidR="00D73E8D" w:rsidRPr="00DD67D9">
        <w:rPr>
          <w:rFonts w:ascii="Times New Roman" w:hAnsi="Times New Roman" w:cs="Times New Roman"/>
          <w:sz w:val="22"/>
          <w:lang w:val="it-CH"/>
        </w:rPr>
        <w:t>dell’importo destinato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alla costituzione di riserve</w:t>
      </w:r>
      <w:r w:rsidR="005069FD" w:rsidRPr="00DD67D9">
        <w:rPr>
          <w:rFonts w:ascii="Times New Roman" w:hAnsi="Times New Roman" w:cs="Times New Roman"/>
          <w:sz w:val="22"/>
          <w:lang w:val="it-CH"/>
        </w:rPr>
        <w:t>.</w:t>
      </w:r>
    </w:p>
    <w:p w14:paraId="32F7C0C2" w14:textId="77777777" w:rsidR="00B241D5" w:rsidRPr="00DD67D9" w:rsidRDefault="00B241D5" w:rsidP="009D3171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 w:cs="Times New Roman"/>
          <w:sz w:val="22"/>
          <w:lang w:val="it-CH"/>
        </w:rPr>
      </w:pPr>
    </w:p>
    <w:p w14:paraId="65AA9323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3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Commissione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</w:t>
      </w:r>
    </w:p>
    <w:p w14:paraId="5BDB9C8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La Commissione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 è l’organo direttivo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ed è responsabile della sua gestione operativa.</w:t>
      </w:r>
    </w:p>
    <w:p w14:paraId="1311AA3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Delibera in materia di:</w:t>
      </w:r>
    </w:p>
    <w:p w14:paraId="27BB9D0E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2"/>
          <w:lang w:val="it-CH"/>
        </w:rPr>
      </w:pPr>
      <w:r w:rsidRPr="00DD67D9">
        <w:rPr>
          <w:rFonts w:ascii="Times New Roman" w:hAnsi="Times New Roman" w:cs="Times New Roman"/>
          <w:i/>
          <w:sz w:val="22"/>
          <w:lang w:val="it-CH"/>
        </w:rPr>
        <w:t>Proposte:</w:t>
      </w:r>
    </w:p>
    <w:p w14:paraId="6384E7D8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a.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C66E31" w:rsidRPr="00DD67D9">
        <w:rPr>
          <w:rFonts w:ascii="Times New Roman" w:hAnsi="Times New Roman" w:cs="Times New Roman"/>
          <w:sz w:val="22"/>
          <w:lang w:val="it-CH"/>
        </w:rPr>
        <w:t xml:space="preserve">assoggettamento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di un’azienda al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ondo;</w:t>
      </w:r>
    </w:p>
    <w:p w14:paraId="7CBF276D" w14:textId="77777777" w:rsidR="00B241D5" w:rsidRPr="00DD67D9" w:rsidRDefault="00B241D5" w:rsidP="009D317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b.</w:t>
      </w:r>
      <w:r w:rsidRPr="00DD67D9">
        <w:rPr>
          <w:rFonts w:ascii="Times New Roman" w:hAnsi="Times New Roman" w:cs="Times New Roman"/>
          <w:sz w:val="22"/>
          <w:lang w:val="it-CH"/>
        </w:rPr>
        <w:tab/>
        <w:t xml:space="preserve">determinazione dei contributi di un’azienda in caso di </w:t>
      </w:r>
      <w:r w:rsidR="00C74041" w:rsidRPr="00DD67D9">
        <w:rPr>
          <w:rFonts w:ascii="Times New Roman" w:hAnsi="Times New Roman" w:cs="Times New Roman"/>
          <w:sz w:val="22"/>
          <w:lang w:val="it-CH"/>
        </w:rPr>
        <w:t>inosservanza</w:t>
      </w:r>
      <w:r w:rsidR="00B04E51" w:rsidRPr="00DD67D9">
        <w:rPr>
          <w:rFonts w:ascii="Times New Roman" w:hAnsi="Times New Roman" w:cs="Times New Roman"/>
          <w:sz w:val="22"/>
          <w:lang w:val="it-CH"/>
        </w:rPr>
        <w:t xml:space="preserve"> de</w:t>
      </w:r>
      <w:r w:rsidR="006C6DE0" w:rsidRPr="00DD67D9">
        <w:rPr>
          <w:rFonts w:ascii="Times New Roman" w:hAnsi="Times New Roman" w:cs="Times New Roman"/>
          <w:sz w:val="22"/>
          <w:lang w:val="it-CH"/>
        </w:rPr>
        <w:t>gli obblighi</w:t>
      </w:r>
      <w:r w:rsidRPr="00DD67D9">
        <w:rPr>
          <w:rFonts w:ascii="Times New Roman" w:hAnsi="Times New Roman" w:cs="Times New Roman"/>
          <w:sz w:val="22"/>
          <w:lang w:val="it-CH"/>
        </w:rPr>
        <w:t>;</w:t>
      </w:r>
    </w:p>
    <w:p w14:paraId="4C587842" w14:textId="77777777" w:rsidR="00B241D5" w:rsidRPr="00DD67D9" w:rsidRDefault="00B241D5" w:rsidP="009D3171">
      <w:pPr>
        <w:autoSpaceDE w:val="0"/>
        <w:autoSpaceDN w:val="0"/>
        <w:adjustRightInd w:val="0"/>
        <w:ind w:left="1410" w:hanging="702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c.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4B1863" w:rsidRPr="00DD67D9">
        <w:rPr>
          <w:rFonts w:ascii="Times New Roman" w:hAnsi="Times New Roman" w:cs="Times New Roman"/>
          <w:sz w:val="22"/>
          <w:lang w:val="it-CH"/>
        </w:rPr>
        <w:t>esenzione dall’obbligo di contribuzione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005FDD" w:rsidRPr="00DD67D9">
        <w:rPr>
          <w:rFonts w:ascii="Times New Roman" w:hAnsi="Times New Roman" w:cs="Times New Roman"/>
          <w:sz w:val="22"/>
          <w:lang w:val="it-CH"/>
        </w:rPr>
        <w:t>qualora l’azienda versi già contributi 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un altro fondo per la formazione professionale</w:t>
      </w:r>
      <w:r w:rsidR="00005FDD" w:rsidRPr="00DD67D9">
        <w:rPr>
          <w:rFonts w:ascii="Times New Roman" w:hAnsi="Times New Roman" w:cs="Times New Roman"/>
          <w:sz w:val="22"/>
          <w:lang w:val="it-CH"/>
        </w:rPr>
        <w:t>,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d’intesa con la direzione di detto fondo.</w:t>
      </w:r>
    </w:p>
    <w:p w14:paraId="790A58F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3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Approva il preventivo e sorveglia </w:t>
      </w:r>
      <w:r w:rsidR="002B0E6C" w:rsidRPr="00DD67D9">
        <w:rPr>
          <w:rFonts w:ascii="Times New Roman" w:hAnsi="Times New Roman" w:cs="Times New Roman"/>
          <w:sz w:val="22"/>
          <w:lang w:val="it-CH"/>
        </w:rPr>
        <w:t>la segreteria</w:t>
      </w:r>
      <w:r w:rsidRPr="00DD67D9">
        <w:rPr>
          <w:rFonts w:ascii="Times New Roman" w:hAnsi="Times New Roman" w:cs="Times New Roman"/>
          <w:sz w:val="22"/>
          <w:lang w:val="it-CH"/>
        </w:rPr>
        <w:t>.</w:t>
      </w:r>
    </w:p>
    <w:p w14:paraId="1D03BF2B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33C99A6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4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2B0E6C" w:rsidRPr="00DD67D9">
        <w:rPr>
          <w:rFonts w:ascii="Times New Roman" w:hAnsi="Times New Roman" w:cs="Times New Roman"/>
          <w:sz w:val="22"/>
          <w:lang w:val="it-CH"/>
        </w:rPr>
        <w:t>Segreteria</w:t>
      </w:r>
    </w:p>
    <w:p w14:paraId="5834593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2B0E6C" w:rsidRPr="00DD67D9">
        <w:rPr>
          <w:rFonts w:ascii="Times New Roman" w:hAnsi="Times New Roman" w:cs="Times New Roman"/>
          <w:sz w:val="22"/>
          <w:lang w:val="it-CH"/>
        </w:rPr>
        <w:t>La segreteria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dà esecuzione al presente regolamento nell’ambito delle sue competenze.</w:t>
      </w:r>
    </w:p>
    <w:p w14:paraId="6B4ECAD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È responsabile della riscossione dei contributi, del</w:t>
      </w:r>
      <w:r w:rsidR="00A70150" w:rsidRPr="00DD67D9">
        <w:rPr>
          <w:rFonts w:ascii="Times New Roman" w:hAnsi="Times New Roman" w:cs="Times New Roman"/>
          <w:sz w:val="22"/>
          <w:lang w:val="it-CH"/>
        </w:rPr>
        <w:t>l</w:t>
      </w:r>
      <w:r w:rsidR="00885BB3" w:rsidRPr="00DD67D9">
        <w:rPr>
          <w:rFonts w:ascii="Times New Roman" w:hAnsi="Times New Roman" w:cs="Times New Roman"/>
          <w:sz w:val="22"/>
          <w:lang w:val="it-CH"/>
        </w:rPr>
        <w:t xml:space="preserve">’assegnazione 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di contributi per </w:t>
      </w:r>
      <w:r w:rsidR="005A4E43" w:rsidRPr="00DD67D9">
        <w:rPr>
          <w:rFonts w:ascii="Times New Roman" w:hAnsi="Times New Roman" w:cs="Times New Roman"/>
          <w:sz w:val="22"/>
          <w:lang w:val="it-CH"/>
        </w:rPr>
        <w:t xml:space="preserve">i provvedimenti </w:t>
      </w:r>
      <w:r w:rsidRPr="00DD67D9">
        <w:rPr>
          <w:rFonts w:ascii="Times New Roman" w:hAnsi="Times New Roman" w:cs="Times New Roman"/>
          <w:sz w:val="22"/>
          <w:lang w:val="it-CH"/>
        </w:rPr>
        <w:t>di cui all’articolo 7, dell’amministrazione e della contabilità.</w:t>
      </w:r>
    </w:p>
    <w:p w14:paraId="48C7DD90" w14:textId="77777777" w:rsidR="00EC1A3B" w:rsidRPr="00DD67D9" w:rsidRDefault="00EC1A3B" w:rsidP="009D3171">
      <w:pPr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br w:type="page"/>
      </w:r>
    </w:p>
    <w:p w14:paraId="368BC02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A571553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5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="00E71BA5" w:rsidRPr="00DD67D9">
        <w:rPr>
          <w:rFonts w:ascii="Times New Roman" w:hAnsi="Times New Roman" w:cs="Times New Roman"/>
          <w:sz w:val="22"/>
          <w:lang w:val="it-CH"/>
        </w:rPr>
        <w:t>Presentazione dei conti</w:t>
      </w:r>
      <w:r w:rsidRPr="00DD67D9">
        <w:rPr>
          <w:rFonts w:ascii="Times New Roman" w:hAnsi="Times New Roman" w:cs="Times New Roman"/>
          <w:sz w:val="22"/>
          <w:lang w:val="it-CH"/>
        </w:rPr>
        <w:t>, revisione e contabilità</w:t>
      </w:r>
    </w:p>
    <w:p w14:paraId="3686E791" w14:textId="4A119B8E" w:rsidR="00CE1C90" w:rsidRPr="008D6D0A" w:rsidRDefault="00B241D5" w:rsidP="00CE1C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2B0E6C" w:rsidRPr="00DD67D9">
        <w:rPr>
          <w:rFonts w:ascii="Times New Roman" w:hAnsi="Times New Roman" w:cs="Times New Roman"/>
          <w:sz w:val="22"/>
          <w:lang w:val="it-CH"/>
        </w:rPr>
        <w:t>La segreteria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gestisce il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 </w:t>
      </w:r>
      <w:r w:rsidRPr="008D6D0A">
        <w:rPr>
          <w:rFonts w:ascii="Times New Roman" w:hAnsi="Times New Roman" w:cs="Times New Roman"/>
          <w:sz w:val="22"/>
          <w:lang w:val="it-CH"/>
        </w:rPr>
        <w:t>come conto</w:t>
      </w:r>
      <w:r w:rsidR="00E71BA5" w:rsidRPr="008D6D0A">
        <w:rPr>
          <w:rFonts w:ascii="Times New Roman" w:hAnsi="Times New Roman" w:cs="Times New Roman"/>
          <w:sz w:val="22"/>
          <w:lang w:val="it-CH"/>
        </w:rPr>
        <w:t xml:space="preserve"> separato</w:t>
      </w:r>
      <w:r w:rsidRPr="008D6D0A">
        <w:rPr>
          <w:rFonts w:ascii="Times New Roman" w:hAnsi="Times New Roman" w:cs="Times New Roman"/>
          <w:sz w:val="22"/>
          <w:lang w:val="it-CH"/>
        </w:rPr>
        <w:t xml:space="preserve"> con </w:t>
      </w:r>
      <w:r w:rsidR="00E71BA5" w:rsidRPr="008D6D0A">
        <w:rPr>
          <w:rFonts w:ascii="Times New Roman" w:hAnsi="Times New Roman" w:cs="Times New Roman"/>
          <w:sz w:val="22"/>
          <w:lang w:val="it-CH"/>
        </w:rPr>
        <w:t xml:space="preserve">una </w:t>
      </w:r>
      <w:r w:rsidRPr="008D6D0A">
        <w:rPr>
          <w:rFonts w:ascii="Times New Roman" w:hAnsi="Times New Roman" w:cs="Times New Roman"/>
          <w:sz w:val="22"/>
          <w:lang w:val="it-CH"/>
        </w:rPr>
        <w:t>contabilità autonoma,</w:t>
      </w:r>
      <w:r w:rsidR="00E71BA5" w:rsidRPr="008D6D0A">
        <w:rPr>
          <w:rFonts w:ascii="Times New Roman" w:hAnsi="Times New Roman" w:cs="Times New Roman"/>
          <w:sz w:val="22"/>
          <w:lang w:val="it-CH"/>
        </w:rPr>
        <w:t xml:space="preserve"> un</w:t>
      </w:r>
      <w:r w:rsidRPr="008D6D0A">
        <w:rPr>
          <w:rFonts w:ascii="Times New Roman" w:hAnsi="Times New Roman" w:cs="Times New Roman"/>
          <w:sz w:val="22"/>
          <w:lang w:val="it-CH"/>
        </w:rPr>
        <w:t xml:space="preserve"> conto economico</w:t>
      </w:r>
      <w:r w:rsidR="0011113C" w:rsidRPr="008D6D0A">
        <w:rPr>
          <w:rFonts w:ascii="Times New Roman" w:hAnsi="Times New Roman" w:cs="Times New Roman"/>
          <w:sz w:val="22"/>
          <w:lang w:val="it-CH"/>
        </w:rPr>
        <w:t xml:space="preserve"> e</w:t>
      </w:r>
      <w:r w:rsidRPr="008D6D0A">
        <w:rPr>
          <w:rFonts w:ascii="Times New Roman" w:hAnsi="Times New Roman" w:cs="Times New Roman"/>
          <w:sz w:val="22"/>
          <w:lang w:val="it-CH"/>
        </w:rPr>
        <w:t xml:space="preserve"> </w:t>
      </w:r>
      <w:r w:rsidR="00E71BA5" w:rsidRPr="008D6D0A">
        <w:rPr>
          <w:rFonts w:ascii="Times New Roman" w:hAnsi="Times New Roman" w:cs="Times New Roman"/>
          <w:sz w:val="22"/>
          <w:lang w:val="it-CH"/>
        </w:rPr>
        <w:t xml:space="preserve">un </w:t>
      </w:r>
      <w:r w:rsidRPr="008D6D0A">
        <w:rPr>
          <w:rFonts w:ascii="Times New Roman" w:hAnsi="Times New Roman" w:cs="Times New Roman"/>
          <w:sz w:val="22"/>
          <w:lang w:val="it-CH"/>
        </w:rPr>
        <w:t>bilancio</w:t>
      </w:r>
      <w:r w:rsidR="0011113C" w:rsidRPr="008D6D0A">
        <w:rPr>
          <w:rFonts w:ascii="Times New Roman" w:hAnsi="Times New Roman" w:cs="Times New Roman"/>
          <w:sz w:val="22"/>
          <w:lang w:val="it-CH"/>
        </w:rPr>
        <w:t xml:space="preserve"> indipendenti</w:t>
      </w:r>
      <w:r w:rsidRPr="008D6D0A">
        <w:rPr>
          <w:rFonts w:ascii="Times New Roman" w:hAnsi="Times New Roman" w:cs="Times New Roman"/>
          <w:sz w:val="22"/>
          <w:lang w:val="it-CH"/>
        </w:rPr>
        <w:t xml:space="preserve"> e con un proprio centro </w:t>
      </w:r>
      <w:r w:rsidR="0011113C" w:rsidRPr="008D6D0A">
        <w:rPr>
          <w:rFonts w:ascii="Times New Roman" w:hAnsi="Times New Roman" w:cs="Times New Roman"/>
          <w:sz w:val="22"/>
          <w:lang w:val="it-CH"/>
        </w:rPr>
        <w:t>di costo</w:t>
      </w:r>
      <w:r w:rsidRPr="008D6D0A">
        <w:rPr>
          <w:rFonts w:ascii="Times New Roman" w:hAnsi="Times New Roman" w:cs="Times New Roman"/>
          <w:sz w:val="22"/>
          <w:lang w:val="it-CH"/>
        </w:rPr>
        <w:t>.</w:t>
      </w:r>
      <w:r w:rsidR="00CE1C90" w:rsidRPr="008D6D0A">
        <w:rPr>
          <w:lang w:val="it-CH"/>
        </w:rPr>
        <w:t xml:space="preserve"> </w:t>
      </w:r>
      <w:r w:rsidR="004413F7" w:rsidRPr="008D6D0A">
        <w:rPr>
          <w:rFonts w:ascii="Times New Roman" w:hAnsi="Times New Roman" w:cs="Times New Roman"/>
          <w:sz w:val="22"/>
          <w:lang w:val="it-CH"/>
        </w:rPr>
        <w:t xml:space="preserve">La presentazione del conto comprende il </w:t>
      </w:r>
      <w:r w:rsidR="00FB3534" w:rsidRPr="008D6D0A">
        <w:rPr>
          <w:rFonts w:ascii="Times New Roman" w:hAnsi="Times New Roman" w:cs="Times New Roman"/>
          <w:sz w:val="22"/>
          <w:lang w:val="it-CH"/>
        </w:rPr>
        <w:t xml:space="preserve">bilancio, </w:t>
      </w:r>
      <w:r w:rsidR="004413F7" w:rsidRPr="008D6D0A">
        <w:rPr>
          <w:rFonts w:ascii="Times New Roman" w:hAnsi="Times New Roman" w:cs="Times New Roman"/>
          <w:sz w:val="22"/>
          <w:lang w:val="it-CH"/>
        </w:rPr>
        <w:t xml:space="preserve">il conto </w:t>
      </w:r>
      <w:r w:rsidR="008D6D0A">
        <w:rPr>
          <w:rFonts w:ascii="Times New Roman" w:hAnsi="Times New Roman" w:cs="Times New Roman"/>
          <w:sz w:val="22"/>
          <w:lang w:val="it-CH"/>
        </w:rPr>
        <w:t>economico</w:t>
      </w:r>
      <w:r w:rsidR="00FB3534" w:rsidRPr="008D6D0A">
        <w:rPr>
          <w:rFonts w:ascii="Times New Roman" w:hAnsi="Times New Roman" w:cs="Times New Roman"/>
          <w:sz w:val="22"/>
          <w:lang w:val="it-CH"/>
        </w:rPr>
        <w:t xml:space="preserve">, l’allegato e </w:t>
      </w:r>
      <w:r w:rsidR="004413F7" w:rsidRPr="008D6D0A">
        <w:rPr>
          <w:rFonts w:ascii="Times New Roman" w:hAnsi="Times New Roman" w:cs="Times New Roman"/>
          <w:sz w:val="22"/>
          <w:lang w:val="it-CH"/>
        </w:rPr>
        <w:t xml:space="preserve">il </w:t>
      </w:r>
      <w:r w:rsidR="00FB3534" w:rsidRPr="008D6D0A">
        <w:rPr>
          <w:rFonts w:ascii="Times New Roman" w:hAnsi="Times New Roman" w:cs="Times New Roman"/>
          <w:sz w:val="22"/>
          <w:lang w:val="it-CH"/>
        </w:rPr>
        <w:t xml:space="preserve">rapporto </w:t>
      </w:r>
      <w:r w:rsidR="004413F7" w:rsidRPr="008D6D0A">
        <w:rPr>
          <w:rFonts w:ascii="Times New Roman" w:hAnsi="Times New Roman" w:cs="Times New Roman"/>
          <w:sz w:val="22"/>
          <w:lang w:val="it-CH"/>
        </w:rPr>
        <w:t>sulle prestazioni</w:t>
      </w:r>
      <w:r w:rsidR="00CE1C90" w:rsidRPr="008D6D0A">
        <w:rPr>
          <w:rFonts w:ascii="Times New Roman" w:hAnsi="Times New Roman" w:cs="Times New Roman"/>
          <w:sz w:val="22"/>
          <w:lang w:val="it-CH"/>
        </w:rPr>
        <w:t>.</w:t>
      </w:r>
    </w:p>
    <w:p w14:paraId="706E84FB" w14:textId="77777777" w:rsidR="00CE1C90" w:rsidRPr="004413F7" w:rsidRDefault="00CE1C90" w:rsidP="00CE1C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8D6D0A">
        <w:rPr>
          <w:rFonts w:ascii="Times New Roman" w:hAnsi="Times New Roman" w:cs="Times New Roman"/>
          <w:i/>
          <w:iCs/>
          <w:sz w:val="22"/>
          <w:lang w:val="it-CH"/>
        </w:rPr>
        <w:t>Variante</w:t>
      </w:r>
      <w:r w:rsidRPr="008D6D0A">
        <w:rPr>
          <w:rFonts w:ascii="Times New Roman" w:hAnsi="Times New Roman" w:cs="Times New Roman"/>
          <w:sz w:val="22"/>
          <w:lang w:val="it-CH"/>
        </w:rPr>
        <w:t>:</w:t>
      </w:r>
    </w:p>
    <w:p w14:paraId="69D9C85F" w14:textId="0A2FEC72" w:rsidR="00B241D5" w:rsidRPr="00FB3534" w:rsidRDefault="00FB3534" w:rsidP="00CE1C9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FB3534">
        <w:rPr>
          <w:rFonts w:ascii="Times New Roman" w:hAnsi="Times New Roman" w:cs="Times New Roman"/>
          <w:sz w:val="22"/>
          <w:lang w:val="it-CH"/>
        </w:rPr>
        <w:t xml:space="preserve">La segreteria integra </w:t>
      </w:r>
      <w:r>
        <w:rPr>
          <w:rFonts w:ascii="Times New Roman" w:hAnsi="Times New Roman" w:cs="Times New Roman"/>
          <w:sz w:val="22"/>
          <w:lang w:val="it-CH"/>
        </w:rPr>
        <w:t>il</w:t>
      </w:r>
      <w:r w:rsidRPr="00FB3534">
        <w:rPr>
          <w:rFonts w:ascii="Times New Roman" w:hAnsi="Times New Roman" w:cs="Times New Roman"/>
          <w:sz w:val="22"/>
          <w:lang w:val="it-CH"/>
        </w:rPr>
        <w:t xml:space="preserve"> fondo </w:t>
      </w:r>
      <w:r>
        <w:rPr>
          <w:rFonts w:ascii="Times New Roman" w:hAnsi="Times New Roman" w:cs="Times New Roman"/>
          <w:sz w:val="22"/>
          <w:lang w:val="it-CH"/>
        </w:rPr>
        <w:t>ne</w:t>
      </w:r>
      <w:r w:rsidRPr="00FB3534">
        <w:rPr>
          <w:rFonts w:ascii="Times New Roman" w:hAnsi="Times New Roman" w:cs="Times New Roman"/>
          <w:sz w:val="22"/>
          <w:lang w:val="it-CH"/>
        </w:rPr>
        <w:t>i conti dell</w:t>
      </w:r>
      <w:r w:rsidR="002A28A3">
        <w:rPr>
          <w:rFonts w:ascii="Times New Roman" w:hAnsi="Times New Roman" w:cs="Times New Roman"/>
          <w:sz w:val="22"/>
          <w:lang w:val="it-CH"/>
        </w:rPr>
        <w:t>’</w:t>
      </w:r>
      <w:r w:rsidR="0077348F">
        <w:rPr>
          <w:rFonts w:ascii="Times New Roman" w:hAnsi="Times New Roman" w:cs="Times New Roman"/>
          <w:sz w:val="22"/>
          <w:lang w:val="it-CH"/>
        </w:rPr>
        <w:t>ente</w:t>
      </w:r>
      <w:r w:rsidR="002A28A3">
        <w:rPr>
          <w:rFonts w:ascii="Times New Roman" w:hAnsi="Times New Roman" w:cs="Times New Roman"/>
          <w:sz w:val="22"/>
          <w:lang w:val="it-CH"/>
        </w:rPr>
        <w:t xml:space="preserve"> responsabile</w:t>
      </w:r>
      <w:r>
        <w:rPr>
          <w:rFonts w:ascii="Times New Roman" w:hAnsi="Times New Roman" w:cs="Times New Roman"/>
          <w:sz w:val="22"/>
          <w:lang w:val="it-CH"/>
        </w:rPr>
        <w:t>.</w:t>
      </w:r>
      <w:r w:rsidRPr="00FB3534">
        <w:rPr>
          <w:rFonts w:ascii="Times New Roman" w:hAnsi="Times New Roman" w:cs="Times New Roman"/>
          <w:sz w:val="22"/>
          <w:lang w:val="it-CH"/>
        </w:rPr>
        <w:t xml:space="preserve"> </w:t>
      </w:r>
      <w:r>
        <w:rPr>
          <w:rFonts w:ascii="Times New Roman" w:hAnsi="Times New Roman" w:cs="Times New Roman"/>
          <w:sz w:val="22"/>
          <w:lang w:val="it-CH"/>
        </w:rPr>
        <w:t xml:space="preserve">Per il fondo non </w:t>
      </w:r>
      <w:r w:rsidR="004413F7">
        <w:rPr>
          <w:rFonts w:ascii="Times New Roman" w:hAnsi="Times New Roman" w:cs="Times New Roman"/>
          <w:sz w:val="22"/>
          <w:lang w:val="it-CH"/>
        </w:rPr>
        <w:t xml:space="preserve">viene </w:t>
      </w:r>
      <w:r>
        <w:rPr>
          <w:rFonts w:ascii="Times New Roman" w:hAnsi="Times New Roman" w:cs="Times New Roman"/>
          <w:sz w:val="22"/>
          <w:lang w:val="it-CH"/>
        </w:rPr>
        <w:t>allestit</w:t>
      </w:r>
      <w:r w:rsidR="004413F7">
        <w:rPr>
          <w:rFonts w:ascii="Times New Roman" w:hAnsi="Times New Roman" w:cs="Times New Roman"/>
          <w:sz w:val="22"/>
          <w:lang w:val="it-CH"/>
        </w:rPr>
        <w:t xml:space="preserve">o un </w:t>
      </w:r>
      <w:r>
        <w:rPr>
          <w:rFonts w:ascii="Times New Roman" w:hAnsi="Times New Roman" w:cs="Times New Roman"/>
          <w:sz w:val="22"/>
          <w:lang w:val="it-CH"/>
        </w:rPr>
        <w:t>cont</w:t>
      </w:r>
      <w:r w:rsidR="004413F7">
        <w:rPr>
          <w:rFonts w:ascii="Times New Roman" w:hAnsi="Times New Roman" w:cs="Times New Roman"/>
          <w:sz w:val="22"/>
          <w:lang w:val="it-CH"/>
        </w:rPr>
        <w:t>o</w:t>
      </w:r>
      <w:r>
        <w:rPr>
          <w:rFonts w:ascii="Times New Roman" w:hAnsi="Times New Roman" w:cs="Times New Roman"/>
          <w:sz w:val="22"/>
          <w:lang w:val="it-CH"/>
        </w:rPr>
        <w:t xml:space="preserve"> annual</w:t>
      </w:r>
      <w:r w:rsidR="004413F7">
        <w:rPr>
          <w:rFonts w:ascii="Times New Roman" w:hAnsi="Times New Roman" w:cs="Times New Roman"/>
          <w:sz w:val="22"/>
          <w:lang w:val="it-CH"/>
        </w:rPr>
        <w:t xml:space="preserve">e </w:t>
      </w:r>
      <w:r>
        <w:rPr>
          <w:rFonts w:ascii="Times New Roman" w:hAnsi="Times New Roman" w:cs="Times New Roman"/>
          <w:sz w:val="22"/>
          <w:lang w:val="it-CH"/>
        </w:rPr>
        <w:t>separat</w:t>
      </w:r>
      <w:r w:rsidR="004413F7">
        <w:rPr>
          <w:rFonts w:ascii="Times New Roman" w:hAnsi="Times New Roman" w:cs="Times New Roman"/>
          <w:sz w:val="22"/>
          <w:lang w:val="it-CH"/>
        </w:rPr>
        <w:t>o</w:t>
      </w:r>
      <w:bookmarkStart w:id="0" w:name="_Hlk202175891"/>
      <w:r>
        <w:rPr>
          <w:rFonts w:ascii="Times New Roman" w:hAnsi="Times New Roman" w:cs="Times New Roman"/>
          <w:sz w:val="22"/>
          <w:lang w:val="it-CH"/>
        </w:rPr>
        <w:t>.</w:t>
      </w:r>
      <w:bookmarkEnd w:id="0"/>
      <w:r w:rsidR="004413F7" w:rsidRPr="004413F7">
        <w:rPr>
          <w:rFonts w:ascii="Times New Roman" w:hAnsi="Times New Roman" w:cs="Times New Roman"/>
          <w:sz w:val="22"/>
          <w:lang w:val="it-CH"/>
        </w:rPr>
        <w:t xml:space="preserve"> La presentazione de</w:t>
      </w:r>
      <w:r w:rsidR="004413F7">
        <w:rPr>
          <w:rFonts w:ascii="Times New Roman" w:hAnsi="Times New Roman" w:cs="Times New Roman"/>
          <w:sz w:val="22"/>
          <w:lang w:val="it-CH"/>
        </w:rPr>
        <w:t xml:space="preserve">l conto del fondo </w:t>
      </w:r>
      <w:r w:rsidR="004413F7" w:rsidRPr="004413F7">
        <w:rPr>
          <w:rFonts w:ascii="Times New Roman" w:hAnsi="Times New Roman" w:cs="Times New Roman"/>
          <w:sz w:val="22"/>
          <w:lang w:val="it-CH"/>
        </w:rPr>
        <w:t xml:space="preserve">comprende il </w:t>
      </w:r>
      <w:r w:rsidR="004413F7">
        <w:rPr>
          <w:rFonts w:ascii="Times New Roman" w:hAnsi="Times New Roman" w:cs="Times New Roman"/>
          <w:sz w:val="22"/>
          <w:lang w:val="it-CH"/>
        </w:rPr>
        <w:t xml:space="preserve">prospetto del fondo, </w:t>
      </w:r>
      <w:r w:rsidR="004413F7" w:rsidRPr="004413F7">
        <w:rPr>
          <w:rFonts w:ascii="Times New Roman" w:hAnsi="Times New Roman" w:cs="Times New Roman"/>
          <w:sz w:val="22"/>
          <w:lang w:val="it-CH"/>
        </w:rPr>
        <w:t>l’allegato e il rapporto sulle prestazioni.</w:t>
      </w:r>
    </w:p>
    <w:p w14:paraId="62E8DFB1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E71BA5" w:rsidRPr="00DD67D9">
        <w:rPr>
          <w:rFonts w:ascii="Times New Roman" w:hAnsi="Times New Roman" w:cs="Times New Roman"/>
          <w:sz w:val="22"/>
          <w:lang w:val="it-CH"/>
        </w:rPr>
        <w:t>I conti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del </w:t>
      </w:r>
      <w:r w:rsidR="00150F86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 </w:t>
      </w:r>
      <w:r w:rsidR="00E71BA5" w:rsidRPr="00DD67D9">
        <w:rPr>
          <w:rFonts w:ascii="Times New Roman" w:hAnsi="Times New Roman" w:cs="Times New Roman"/>
          <w:sz w:val="22"/>
          <w:lang w:val="it-CH"/>
        </w:rPr>
        <w:t xml:space="preserve">vengono </w:t>
      </w:r>
      <w:r w:rsidRPr="00DD67D9">
        <w:rPr>
          <w:rFonts w:ascii="Times New Roman" w:hAnsi="Times New Roman" w:cs="Times New Roman"/>
          <w:sz w:val="22"/>
          <w:lang w:val="it-CH"/>
        </w:rPr>
        <w:t>controllat</w:t>
      </w:r>
      <w:r w:rsidR="00E71BA5" w:rsidRPr="00DD67D9">
        <w:rPr>
          <w:rFonts w:ascii="Times New Roman" w:hAnsi="Times New Roman" w:cs="Times New Roman"/>
          <w:sz w:val="22"/>
          <w:lang w:val="it-CH"/>
        </w:rPr>
        <w:t>i</w:t>
      </w:r>
      <w:r w:rsidRPr="00DD67D9">
        <w:rPr>
          <w:rFonts w:ascii="Times New Roman" w:hAnsi="Times New Roman" w:cs="Times New Roman"/>
          <w:sz w:val="22"/>
          <w:lang w:val="it-CH"/>
        </w:rPr>
        <w:t>, nell’ambito della revisione annuale</w:t>
      </w:r>
      <w:r w:rsidR="001E72EB" w:rsidRPr="00DD67D9">
        <w:rPr>
          <w:rFonts w:ascii="Times New Roman" w:hAnsi="Times New Roman" w:cs="Times New Roman"/>
          <w:sz w:val="22"/>
          <w:lang w:val="it-CH"/>
        </w:rPr>
        <w:t xml:space="preserve"> dei conti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della [denominazione dell’associazione] da un ufficio di revisione indipendente</w:t>
      </w:r>
      <w:r w:rsidR="00E71BA5" w:rsidRPr="00DD67D9">
        <w:rPr>
          <w:rFonts w:ascii="Times New Roman" w:hAnsi="Times New Roman" w:cs="Times New Roman"/>
          <w:sz w:val="22"/>
          <w:lang w:val="it-CH"/>
        </w:rPr>
        <w:t xml:space="preserve"> secondo gli articoli 727–731</w:t>
      </w:r>
      <w:r w:rsidR="00E71BA5" w:rsidRPr="00DD67D9">
        <w:rPr>
          <w:rFonts w:ascii="Times New Roman" w:hAnsi="Times New Roman" w:cs="Times New Roman"/>
          <w:i/>
          <w:sz w:val="22"/>
          <w:lang w:val="it-CH"/>
        </w:rPr>
        <w:t>a</w:t>
      </w:r>
      <w:r w:rsidR="00E71BA5" w:rsidRPr="00DD67D9">
        <w:rPr>
          <w:rFonts w:ascii="Times New Roman" w:hAnsi="Times New Roman" w:cs="Times New Roman"/>
          <w:sz w:val="22"/>
          <w:lang w:val="it-CH"/>
        </w:rPr>
        <w:t xml:space="preserve"> del Codice delle obbligazioni</w:t>
      </w:r>
      <w:r w:rsidR="00E71BA5" w:rsidRPr="00DD67D9">
        <w:rPr>
          <w:rFonts w:ascii="Times New Roman" w:hAnsi="Times New Roman" w:cs="Times New Roman"/>
          <w:sz w:val="22"/>
          <w:vertAlign w:val="superscript"/>
          <w:lang w:val="it-CH"/>
        </w:rPr>
        <w:footnoteReference w:id="4"/>
      </w:r>
      <w:r w:rsidRPr="00DD67D9">
        <w:rPr>
          <w:rFonts w:ascii="Times New Roman" w:hAnsi="Times New Roman" w:cs="Times New Roman"/>
          <w:sz w:val="22"/>
          <w:lang w:val="it-CH"/>
        </w:rPr>
        <w:t>.</w:t>
      </w:r>
    </w:p>
    <w:p w14:paraId="1ADA7AD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3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Il periodo contabile </w:t>
      </w:r>
      <w:r w:rsidR="00A3690E" w:rsidRPr="00DD67D9">
        <w:rPr>
          <w:rFonts w:ascii="Times New Roman" w:hAnsi="Times New Roman" w:cs="Times New Roman"/>
          <w:sz w:val="22"/>
          <w:lang w:val="it-CH"/>
        </w:rPr>
        <w:t>corrisponde al</w:t>
      </w:r>
      <w:r w:rsidRPr="00DD67D9">
        <w:rPr>
          <w:rFonts w:ascii="Times New Roman" w:hAnsi="Times New Roman" w:cs="Times New Roman"/>
          <w:sz w:val="22"/>
          <w:lang w:val="it-CH"/>
        </w:rPr>
        <w:t>l’anno civile.</w:t>
      </w:r>
    </w:p>
    <w:p w14:paraId="4AA684E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7144AD96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6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Vigilanza</w:t>
      </w:r>
    </w:p>
    <w:p w14:paraId="72C44B60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E71BA5" w:rsidRPr="00DD67D9">
        <w:rPr>
          <w:rFonts w:ascii="Times New Roman" w:hAnsi="Times New Roman" w:cs="Times New Roman"/>
          <w:sz w:val="22"/>
          <w:lang w:val="it-CH"/>
        </w:rPr>
        <w:t xml:space="preserve">Il </w:t>
      </w:r>
      <w:r w:rsidR="002F453B" w:rsidRPr="00DD67D9">
        <w:rPr>
          <w:rFonts w:ascii="Times New Roman" w:hAnsi="Times New Roman" w:cs="Times New Roman"/>
          <w:sz w:val="22"/>
          <w:lang w:val="it-CH"/>
        </w:rPr>
        <w:t>f</w:t>
      </w:r>
      <w:r w:rsidR="00E71BA5" w:rsidRPr="00DD67D9">
        <w:rPr>
          <w:rFonts w:ascii="Times New Roman" w:hAnsi="Times New Roman" w:cs="Times New Roman"/>
          <w:sz w:val="22"/>
          <w:lang w:val="it-CH"/>
        </w:rPr>
        <w:t>ondo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è sottoposto alla vigilanza </w:t>
      </w:r>
      <w:r w:rsidR="00346532" w:rsidRPr="00DD67D9">
        <w:rPr>
          <w:rFonts w:ascii="Times New Roman" w:hAnsi="Times New Roman" w:cs="Times New Roman"/>
          <w:sz w:val="22"/>
          <w:lang w:val="it-CH"/>
        </w:rPr>
        <w:t xml:space="preserve">della Segreteria </w:t>
      </w:r>
      <w:r w:rsidR="0072213C" w:rsidRPr="00DD67D9">
        <w:rPr>
          <w:rFonts w:ascii="Times New Roman" w:hAnsi="Times New Roman" w:cs="Times New Roman"/>
          <w:sz w:val="22"/>
          <w:lang w:val="it-CH"/>
        </w:rPr>
        <w:t>di Stato per la formazione, la ricerca e l’innovazione (SEFRI)</w:t>
      </w:r>
      <w:r w:rsidR="00C965BF" w:rsidRPr="00DD67D9">
        <w:rPr>
          <w:rFonts w:ascii="Times New Roman" w:hAnsi="Times New Roman" w:cs="Times New Roman"/>
          <w:sz w:val="22"/>
          <w:lang w:val="it-CH"/>
        </w:rPr>
        <w:t xml:space="preserve"> ai sensi dell’articolo 60 </w:t>
      </w:r>
      <w:r w:rsidR="00E71BA5" w:rsidRPr="00DD67D9">
        <w:rPr>
          <w:rFonts w:ascii="Times New Roman" w:hAnsi="Times New Roman" w:cs="Times New Roman"/>
          <w:sz w:val="22"/>
          <w:lang w:val="it-CH"/>
        </w:rPr>
        <w:t>capoverso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7 LFPr.</w:t>
      </w:r>
    </w:p>
    <w:p w14:paraId="6F8C93B0" w14:textId="0DC2E938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2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E71BA5" w:rsidRPr="00DD67D9">
        <w:rPr>
          <w:rFonts w:ascii="Times New Roman" w:hAnsi="Times New Roman" w:cs="Times New Roman"/>
          <w:sz w:val="22"/>
          <w:lang w:val="it-CH"/>
        </w:rPr>
        <w:t>I conti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del </w:t>
      </w:r>
      <w:r w:rsidR="00E72860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e il rapporto di revisione vengono inoltrati all</w:t>
      </w:r>
      <w:r w:rsidR="00B2740D" w:rsidRPr="00DD67D9">
        <w:rPr>
          <w:rFonts w:ascii="Times New Roman" w:hAnsi="Times New Roman" w:cs="Times New Roman"/>
          <w:sz w:val="22"/>
          <w:lang w:val="it-CH"/>
        </w:rPr>
        <w:t xml:space="preserve">a </w:t>
      </w:r>
      <w:r w:rsidR="00F918A9" w:rsidRPr="00DD67D9">
        <w:rPr>
          <w:rFonts w:ascii="Times New Roman" w:hAnsi="Times New Roman" w:cs="Times New Roman"/>
          <w:sz w:val="22"/>
          <w:lang w:val="it-CH"/>
        </w:rPr>
        <w:t>SEFRI</w:t>
      </w:r>
      <w:r w:rsidR="00346532" w:rsidRPr="00DD67D9">
        <w:rPr>
          <w:rFonts w:ascii="Times New Roman" w:hAnsi="Times New Roman" w:cs="Times New Roman"/>
          <w:sz w:val="22"/>
          <w:lang w:val="it-CH"/>
        </w:rPr>
        <w:t xml:space="preserve"> per </w:t>
      </w:r>
      <w:r w:rsidR="00CE1C90">
        <w:rPr>
          <w:rFonts w:ascii="Times New Roman" w:hAnsi="Times New Roman" w:cs="Times New Roman"/>
          <w:sz w:val="22"/>
          <w:lang w:val="it-CH"/>
        </w:rPr>
        <w:t>valuta</w:t>
      </w:r>
      <w:r w:rsidR="00346532" w:rsidRPr="00DD67D9">
        <w:rPr>
          <w:rFonts w:ascii="Times New Roman" w:hAnsi="Times New Roman" w:cs="Times New Roman"/>
          <w:sz w:val="22"/>
          <w:lang w:val="it-CH"/>
        </w:rPr>
        <w:t>zione</w:t>
      </w:r>
      <w:r w:rsidRPr="00DD67D9">
        <w:rPr>
          <w:rFonts w:ascii="Times New Roman" w:hAnsi="Times New Roman" w:cs="Times New Roman"/>
          <w:sz w:val="22"/>
          <w:lang w:val="it-CH"/>
        </w:rPr>
        <w:t>.</w:t>
      </w:r>
    </w:p>
    <w:p w14:paraId="7F0AC3D7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B080784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E1528E5" w14:textId="77777777" w:rsidR="00B241D5" w:rsidRPr="00DD67D9" w:rsidRDefault="00B241D5" w:rsidP="009D3171">
      <w:pPr>
        <w:pStyle w:val="Textkrper2"/>
        <w:ind w:left="1416" w:hanging="1416"/>
        <w:jc w:val="both"/>
        <w:rPr>
          <w:rFonts w:ascii="Times New Roman" w:hAnsi="Times New Roman" w:cs="Times New Roman"/>
          <w:lang w:val="it-CH"/>
        </w:rPr>
      </w:pPr>
      <w:r w:rsidRPr="00DD67D9">
        <w:rPr>
          <w:rFonts w:ascii="Times New Roman" w:hAnsi="Times New Roman" w:cs="Times New Roman"/>
          <w:lang w:val="it-CH"/>
        </w:rPr>
        <w:t>Sezione 6:</w:t>
      </w:r>
      <w:r w:rsidRPr="00DD67D9">
        <w:rPr>
          <w:rFonts w:ascii="Times New Roman" w:hAnsi="Times New Roman" w:cs="Times New Roman"/>
          <w:lang w:val="it-CH"/>
        </w:rPr>
        <w:tab/>
        <w:t>Approvazione, conferimento del carattere obbligatorio generale e</w:t>
      </w:r>
      <w:r w:rsidR="00A20542" w:rsidRPr="00DD67D9">
        <w:rPr>
          <w:rFonts w:ascii="Times New Roman" w:hAnsi="Times New Roman" w:cs="Times New Roman"/>
          <w:lang w:val="it-CH"/>
        </w:rPr>
        <w:br/>
      </w:r>
      <w:r w:rsidRPr="00DD67D9">
        <w:rPr>
          <w:rFonts w:ascii="Times New Roman" w:hAnsi="Times New Roman" w:cs="Times New Roman"/>
          <w:lang w:val="it-CH"/>
        </w:rPr>
        <w:t>scioglimento</w:t>
      </w:r>
    </w:p>
    <w:p w14:paraId="6CCEC024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2AE14F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7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Approvazione</w:t>
      </w:r>
    </w:p>
    <w:p w14:paraId="7B666918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Il presente regolamento del </w:t>
      </w:r>
      <w:r w:rsidR="00E72860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è stato approvato il [data] dall’assemblea [generale o dei delegati] in virtù dell’articolo [numero] dello statuto del [data] dell’associazione [denominazione].</w:t>
      </w:r>
    </w:p>
    <w:p w14:paraId="22DAAE1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3A5653B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>Art. 1</w:t>
      </w:r>
      <w:r w:rsidR="00BA6797" w:rsidRPr="00DD67D9">
        <w:rPr>
          <w:rFonts w:ascii="Times New Roman" w:hAnsi="Times New Roman" w:cs="Times New Roman"/>
          <w:b/>
          <w:sz w:val="22"/>
          <w:lang w:val="it-CH"/>
        </w:rPr>
        <w:t>8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Conferimento del carattere obbligatorio generale</w:t>
      </w:r>
    </w:p>
    <w:p w14:paraId="1CD5A03E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 xml:space="preserve">Il conferimento del carattere obbligatorio generale </w:t>
      </w:r>
      <w:r w:rsidR="00346532" w:rsidRPr="00DD67D9">
        <w:rPr>
          <w:rFonts w:ascii="Times New Roman" w:hAnsi="Times New Roman" w:cs="Times New Roman"/>
          <w:sz w:val="22"/>
          <w:lang w:val="it-CH"/>
        </w:rPr>
        <w:t>si fonda sulla decisione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del Consiglio federale.</w:t>
      </w:r>
    </w:p>
    <w:p w14:paraId="4A71366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7441CD82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b/>
          <w:sz w:val="22"/>
          <w:lang w:val="it-CH"/>
        </w:rPr>
        <w:t xml:space="preserve">Art. </w:t>
      </w:r>
      <w:r w:rsidR="00BC3C15" w:rsidRPr="00DD67D9">
        <w:rPr>
          <w:rFonts w:ascii="Times New Roman" w:hAnsi="Times New Roman" w:cs="Times New Roman"/>
          <w:b/>
          <w:sz w:val="22"/>
          <w:lang w:val="it-CH"/>
        </w:rPr>
        <w:t>19</w:t>
      </w:r>
      <w:r w:rsidRPr="00DD67D9">
        <w:rPr>
          <w:rFonts w:ascii="Times New Roman" w:hAnsi="Times New Roman" w:cs="Times New Roman"/>
          <w:sz w:val="22"/>
          <w:lang w:val="it-CH"/>
        </w:rPr>
        <w:tab/>
      </w:r>
      <w:r w:rsidRPr="00DD67D9">
        <w:rPr>
          <w:rFonts w:ascii="Times New Roman" w:hAnsi="Times New Roman" w:cs="Times New Roman"/>
          <w:sz w:val="22"/>
          <w:lang w:val="it-CH"/>
        </w:rPr>
        <w:tab/>
        <w:t>Scioglimento</w:t>
      </w:r>
    </w:p>
    <w:p w14:paraId="1B75F33C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1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</w:t>
      </w:r>
      <w:r w:rsidR="00BA6797" w:rsidRPr="00DD67D9">
        <w:rPr>
          <w:rFonts w:ascii="Times New Roman" w:hAnsi="Times New Roman" w:cs="Times New Roman"/>
          <w:sz w:val="22"/>
          <w:lang w:val="it-CH"/>
        </w:rPr>
        <w:t>Il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[organo competente secondo il regolamento del </w:t>
      </w:r>
      <w:r w:rsidR="00E72860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ondo] </w:t>
      </w:r>
      <w:r w:rsidR="00BA6797" w:rsidRPr="00DD67D9">
        <w:rPr>
          <w:rFonts w:ascii="Times New Roman" w:hAnsi="Times New Roman" w:cs="Times New Roman"/>
          <w:sz w:val="22"/>
          <w:lang w:val="it-CH"/>
        </w:rPr>
        <w:t xml:space="preserve">può </w:t>
      </w:r>
      <w:r w:rsidRPr="00DD67D9">
        <w:rPr>
          <w:rFonts w:ascii="Times New Roman" w:hAnsi="Times New Roman" w:cs="Times New Roman"/>
          <w:sz w:val="22"/>
          <w:lang w:val="it-CH"/>
        </w:rPr>
        <w:t>scioglie</w:t>
      </w:r>
      <w:r w:rsidR="00BA6797" w:rsidRPr="00DD67D9">
        <w:rPr>
          <w:rFonts w:ascii="Times New Roman" w:hAnsi="Times New Roman" w:cs="Times New Roman"/>
          <w:sz w:val="22"/>
          <w:lang w:val="it-CH"/>
        </w:rPr>
        <w:t>re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il </w:t>
      </w:r>
      <w:r w:rsidR="00E72860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</w:t>
      </w:r>
      <w:r w:rsidR="00BA6797" w:rsidRPr="00DD67D9">
        <w:rPr>
          <w:rFonts w:ascii="Times New Roman" w:hAnsi="Times New Roman" w:cs="Times New Roman"/>
          <w:sz w:val="22"/>
          <w:lang w:val="it-CH"/>
        </w:rPr>
        <w:t xml:space="preserve"> con il consenso della SEFRI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. </w:t>
      </w:r>
    </w:p>
    <w:p w14:paraId="1700F3C8" w14:textId="474A5B50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vertAlign w:val="superscript"/>
          <w:lang w:val="it-CH"/>
        </w:rPr>
        <w:t>3</w:t>
      </w:r>
      <w:r w:rsidRPr="00DD67D9">
        <w:rPr>
          <w:rFonts w:ascii="Times New Roman" w:hAnsi="Times New Roman" w:cs="Times New Roman"/>
          <w:sz w:val="22"/>
          <w:lang w:val="it-CH"/>
        </w:rPr>
        <w:t xml:space="preserve"> Un eventuale capitale residuo del </w:t>
      </w:r>
      <w:r w:rsidR="00E72860" w:rsidRPr="00DD67D9">
        <w:rPr>
          <w:rFonts w:ascii="Times New Roman" w:hAnsi="Times New Roman" w:cs="Times New Roman"/>
          <w:sz w:val="22"/>
          <w:lang w:val="it-CH"/>
        </w:rPr>
        <w:t>f</w:t>
      </w:r>
      <w:r w:rsidRPr="00DD67D9">
        <w:rPr>
          <w:rFonts w:ascii="Times New Roman" w:hAnsi="Times New Roman" w:cs="Times New Roman"/>
          <w:sz w:val="22"/>
          <w:lang w:val="it-CH"/>
        </w:rPr>
        <w:t>ondo viene destinato a uno scopo affine</w:t>
      </w:r>
      <w:r w:rsidR="00F82094">
        <w:rPr>
          <w:rFonts w:ascii="Times New Roman" w:hAnsi="Times New Roman" w:cs="Times New Roman"/>
          <w:sz w:val="22"/>
          <w:lang w:val="it-CH"/>
        </w:rPr>
        <w:t xml:space="preserve"> </w:t>
      </w:r>
      <w:r w:rsidR="00F82094" w:rsidRPr="00F929E9">
        <w:rPr>
          <w:rFonts w:ascii="Times New Roman" w:hAnsi="Times New Roman" w:cs="Times New Roman"/>
          <w:sz w:val="22"/>
          <w:lang w:val="it-CH"/>
        </w:rPr>
        <w:t>con l’obbligo di utilizzarlo</w:t>
      </w:r>
      <w:r w:rsidRPr="00F929E9">
        <w:rPr>
          <w:rFonts w:ascii="Times New Roman" w:hAnsi="Times New Roman" w:cs="Times New Roman"/>
          <w:sz w:val="22"/>
          <w:lang w:val="it-CH"/>
        </w:rPr>
        <w:t>.</w:t>
      </w:r>
    </w:p>
    <w:p w14:paraId="1A94EED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5E9C5865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</w:p>
    <w:p w14:paraId="2EF7F8CD" w14:textId="77777777" w:rsidR="00B241D5" w:rsidRPr="00DD67D9" w:rsidRDefault="00B241D5" w:rsidP="009D317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lang w:val="it-CH"/>
        </w:rPr>
      </w:pPr>
      <w:r w:rsidRPr="00DD67D9">
        <w:rPr>
          <w:rFonts w:ascii="Times New Roman" w:hAnsi="Times New Roman" w:cs="Times New Roman"/>
          <w:sz w:val="22"/>
          <w:lang w:val="it-CH"/>
        </w:rPr>
        <w:t>Firme</w:t>
      </w:r>
    </w:p>
    <w:sectPr w:rsidR="00B241D5" w:rsidRPr="00DD67D9" w:rsidSect="00F929E9">
      <w:footerReference w:type="even" r:id="rId7"/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951D8" w14:textId="77777777" w:rsidR="00B37B8F" w:rsidRDefault="00B37B8F">
      <w:r>
        <w:separator/>
      </w:r>
    </w:p>
  </w:endnote>
  <w:endnote w:type="continuationSeparator" w:id="0">
    <w:p w14:paraId="57AA713A" w14:textId="77777777" w:rsidR="00B37B8F" w:rsidRDefault="00B37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39FC" w14:textId="77777777" w:rsidR="00B241D5" w:rsidRDefault="00B241D5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E76C4">
      <w:rPr>
        <w:rStyle w:val="Seitenzahl"/>
        <w:noProof/>
      </w:rPr>
      <w:t>4</w:t>
    </w:r>
    <w:r>
      <w:rPr>
        <w:rStyle w:val="Seitenzahl"/>
      </w:rPr>
      <w:fldChar w:fldCharType="end"/>
    </w:r>
  </w:p>
  <w:p w14:paraId="3DAC3E61" w14:textId="77777777" w:rsidR="00B241D5" w:rsidRDefault="00B241D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0E2CC" w14:textId="6451FBA2" w:rsidR="00955DB3" w:rsidRPr="00EA385D" w:rsidRDefault="00F81171" w:rsidP="00955DB3">
    <w:pPr>
      <w:pStyle w:val="Fuzeile"/>
      <w:pBdr>
        <w:top w:val="single" w:sz="4" w:space="1" w:color="auto"/>
      </w:pBdr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lang w:val="it-IT"/>
      </w:rPr>
      <w:t>Fondi</w:t>
    </w:r>
    <w:r w:rsidRPr="00EA385D">
      <w:rPr>
        <w:rFonts w:ascii="Times New Roman" w:hAnsi="Times New Roman" w:cs="Times New Roman"/>
        <w:lang w:val="it-IT"/>
      </w:rPr>
      <w:t xml:space="preserve"> per la formazione professionale</w:t>
    </w:r>
    <w:r>
      <w:rPr>
        <w:rFonts w:ascii="Times New Roman" w:hAnsi="Times New Roman" w:cs="Times New Roman"/>
        <w:lang w:val="it-IT"/>
      </w:rPr>
      <w:t>:</w:t>
    </w:r>
    <w:r w:rsidR="00955DB3" w:rsidRPr="00EA385D">
      <w:rPr>
        <w:rFonts w:ascii="Times New Roman" w:hAnsi="Times New Roman" w:cs="Times New Roman"/>
        <w:lang w:val="it-IT"/>
      </w:rPr>
      <w:tab/>
    </w:r>
    <w:r w:rsidR="00EA385D" w:rsidRPr="004A02EB">
      <w:rPr>
        <w:lang w:val="it-IT"/>
      </w:rPr>
      <w:t>Pagina</w:t>
    </w:r>
    <w:r w:rsidR="00EA385D" w:rsidRPr="00EA385D">
      <w:rPr>
        <w:rFonts w:ascii="Times New Roman" w:hAnsi="Times New Roman" w:cs="Times New Roman"/>
        <w:lang w:val="it-IT"/>
      </w:rPr>
      <w:t xml:space="preserve"> </w:t>
    </w:r>
    <w:r w:rsidR="00EA385D" w:rsidRPr="004A02EB">
      <w:rPr>
        <w:lang w:val="it-IT"/>
      </w:rPr>
      <w:fldChar w:fldCharType="begin"/>
    </w:r>
    <w:r w:rsidR="00EA385D" w:rsidRPr="004A02EB">
      <w:rPr>
        <w:lang w:val="it-IT"/>
      </w:rPr>
      <w:instrText>PAGE   \* MERGEFORMAT</w:instrText>
    </w:r>
    <w:r w:rsidR="00EA385D" w:rsidRPr="004A02EB">
      <w:rPr>
        <w:lang w:val="it-IT"/>
      </w:rPr>
      <w:fldChar w:fldCharType="separate"/>
    </w:r>
    <w:r w:rsidR="00C805AA">
      <w:rPr>
        <w:noProof/>
        <w:lang w:val="it-IT"/>
      </w:rPr>
      <w:t>3</w:t>
    </w:r>
    <w:r w:rsidR="00EA385D" w:rsidRPr="004A02EB">
      <w:rPr>
        <w:lang w:val="it-IT"/>
      </w:rPr>
      <w:fldChar w:fldCharType="end"/>
    </w:r>
    <w:r w:rsidR="00955DB3" w:rsidRPr="00EA385D">
      <w:rPr>
        <w:rFonts w:ascii="Times New Roman" w:hAnsi="Times New Roman" w:cs="Times New Roman"/>
        <w:lang w:val="it-IT"/>
      </w:rPr>
      <w:tab/>
    </w:r>
    <w:r w:rsidR="0097726E" w:rsidRPr="0051332D">
      <w:rPr>
        <w:b/>
        <w:lang w:val="it-IT"/>
      </w:rPr>
      <w:t>202</w:t>
    </w:r>
    <w:r w:rsidR="00F929E9">
      <w:rPr>
        <w:b/>
        <w:lang w:val="it-IT"/>
      </w:rPr>
      <w:t>5</w:t>
    </w:r>
    <w:r w:rsidR="0097726E" w:rsidRPr="0051332D">
      <w:rPr>
        <w:b/>
        <w:lang w:val="it-IT"/>
      </w:rPr>
      <w:t>_V.1</w:t>
    </w:r>
  </w:p>
  <w:p w14:paraId="45E98965" w14:textId="77777777" w:rsidR="00EA385D" w:rsidRPr="00EA385D" w:rsidRDefault="00F81171" w:rsidP="00955DB3">
    <w:pPr>
      <w:pStyle w:val="Fuzeile"/>
      <w:pBdr>
        <w:top w:val="single" w:sz="4" w:space="1" w:color="auto"/>
      </w:pBdr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lang w:val="it-IT"/>
      </w:rPr>
      <w:t>modello di regolamento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23020" w14:textId="77777777" w:rsidR="00B37B8F" w:rsidRDefault="00B37B8F">
      <w:r>
        <w:separator/>
      </w:r>
    </w:p>
  </w:footnote>
  <w:footnote w:type="continuationSeparator" w:id="0">
    <w:p w14:paraId="65CE44FC" w14:textId="77777777" w:rsidR="00B37B8F" w:rsidRDefault="00B37B8F">
      <w:r>
        <w:continuationSeparator/>
      </w:r>
    </w:p>
  </w:footnote>
  <w:footnote w:id="1">
    <w:p w14:paraId="07BF39CE" w14:textId="77777777" w:rsidR="00B241D5" w:rsidRPr="00A202AD" w:rsidRDefault="00B241D5">
      <w:pPr>
        <w:pStyle w:val="Funotentext"/>
        <w:rPr>
          <w:rFonts w:ascii="Times New Roman" w:hAnsi="Times New Roman" w:cs="Times New Roman"/>
          <w:lang w:val="it-CH"/>
        </w:rPr>
      </w:pPr>
      <w:r w:rsidRPr="00844F93">
        <w:rPr>
          <w:rStyle w:val="Funotenzeichen"/>
          <w:rFonts w:ascii="Times New Roman" w:hAnsi="Times New Roman" w:cs="Times New Roman"/>
        </w:rPr>
        <w:footnoteRef/>
      </w:r>
      <w:r w:rsidRPr="00844F93">
        <w:rPr>
          <w:rFonts w:ascii="Times New Roman" w:hAnsi="Times New Roman" w:cs="Times New Roman"/>
          <w:lang w:val="it-IT"/>
        </w:rPr>
        <w:t xml:space="preserve"> RS </w:t>
      </w:r>
      <w:r w:rsidRPr="00844F93">
        <w:rPr>
          <w:rFonts w:ascii="Times New Roman" w:hAnsi="Times New Roman" w:cs="Times New Roman"/>
          <w:b/>
          <w:lang w:val="it-IT"/>
        </w:rPr>
        <w:t>412.10</w:t>
      </w:r>
    </w:p>
  </w:footnote>
  <w:footnote w:id="2">
    <w:p w14:paraId="4E1954F3" w14:textId="77777777" w:rsidR="00B241D5" w:rsidRPr="00844F93" w:rsidRDefault="00B241D5">
      <w:pPr>
        <w:pStyle w:val="Funotentext"/>
        <w:rPr>
          <w:rFonts w:ascii="Times New Roman" w:hAnsi="Times New Roman" w:cs="Times New Roman"/>
          <w:lang w:val="it-IT"/>
        </w:rPr>
      </w:pPr>
      <w:r w:rsidRPr="00844F93">
        <w:rPr>
          <w:rStyle w:val="Funotenzeichen"/>
          <w:rFonts w:ascii="Times New Roman" w:hAnsi="Times New Roman" w:cs="Times New Roman"/>
        </w:rPr>
        <w:footnoteRef/>
      </w:r>
      <w:r w:rsidRPr="00844F93">
        <w:rPr>
          <w:rFonts w:ascii="Times New Roman" w:hAnsi="Times New Roman" w:cs="Times New Roman"/>
          <w:lang w:val="it-IT"/>
        </w:rPr>
        <w:t xml:space="preserve"> RS </w:t>
      </w:r>
      <w:r w:rsidRPr="00844F93">
        <w:rPr>
          <w:rFonts w:ascii="Times New Roman" w:hAnsi="Times New Roman" w:cs="Times New Roman"/>
          <w:b/>
          <w:lang w:val="it-IT"/>
        </w:rPr>
        <w:t>831.40</w:t>
      </w:r>
    </w:p>
  </w:footnote>
  <w:footnote w:id="3">
    <w:p w14:paraId="3CDCC233" w14:textId="77777777" w:rsidR="00B241D5" w:rsidRPr="00844F93" w:rsidRDefault="00B241D5">
      <w:pPr>
        <w:pStyle w:val="Funotentext"/>
        <w:rPr>
          <w:rFonts w:ascii="Times New Roman" w:hAnsi="Times New Roman" w:cs="Times New Roman"/>
          <w:lang w:val="it-IT"/>
        </w:rPr>
      </w:pPr>
      <w:r w:rsidRPr="00844F93">
        <w:rPr>
          <w:rStyle w:val="Funotenzeichen"/>
          <w:rFonts w:ascii="Times New Roman" w:hAnsi="Times New Roman" w:cs="Times New Roman"/>
        </w:rPr>
        <w:footnoteRef/>
      </w:r>
      <w:r w:rsidRPr="00844F93">
        <w:rPr>
          <w:rFonts w:ascii="Times New Roman" w:hAnsi="Times New Roman" w:cs="Times New Roman"/>
          <w:lang w:val="it-IT"/>
        </w:rPr>
        <w:t xml:space="preserve"> Ordinanza del 19 novembre 2003 sulla formazione professionale (ordinanza sulla formazione professionale, OFPr; RS </w:t>
      </w:r>
      <w:r w:rsidRPr="00844F93">
        <w:rPr>
          <w:rFonts w:ascii="Times New Roman" w:hAnsi="Times New Roman" w:cs="Times New Roman"/>
          <w:b/>
          <w:lang w:val="it-IT"/>
        </w:rPr>
        <w:t>412.101</w:t>
      </w:r>
      <w:r w:rsidRPr="00844F93">
        <w:rPr>
          <w:rFonts w:ascii="Times New Roman" w:hAnsi="Times New Roman" w:cs="Times New Roman"/>
          <w:lang w:val="it-IT"/>
        </w:rPr>
        <w:t>)</w:t>
      </w:r>
    </w:p>
  </w:footnote>
  <w:footnote w:id="4">
    <w:p w14:paraId="7C12E2C9" w14:textId="77777777" w:rsidR="00E71BA5" w:rsidRPr="00FC5711" w:rsidRDefault="00E71BA5" w:rsidP="00E71BA5">
      <w:pPr>
        <w:pStyle w:val="Funotentext"/>
        <w:rPr>
          <w:rFonts w:ascii="Times New Roman" w:hAnsi="Times New Roman" w:cs="Times New Roman"/>
        </w:rPr>
      </w:pPr>
      <w:r w:rsidRPr="00FC5711">
        <w:rPr>
          <w:vertAlign w:val="superscript"/>
        </w:rPr>
        <w:footnoteRef/>
      </w:r>
      <w:r w:rsidRPr="00FC5711">
        <w:rPr>
          <w:rFonts w:ascii="Times New Roman" w:hAnsi="Times New Roman" w:cs="Times New Roman"/>
          <w:vertAlign w:val="superscript"/>
        </w:rPr>
        <w:t xml:space="preserve"> </w:t>
      </w:r>
      <w:r w:rsidRPr="00FC5711">
        <w:rPr>
          <w:rFonts w:ascii="Times New Roman" w:hAnsi="Times New Roman" w:cs="Times New Roman"/>
        </w:rPr>
        <w:t xml:space="preserve">RS </w:t>
      </w:r>
      <w:r w:rsidRPr="003A5BC7">
        <w:rPr>
          <w:rFonts w:ascii="Times New Roman" w:hAnsi="Times New Roman" w:cs="Times New Roman"/>
          <w:b/>
        </w:rPr>
        <w:t>220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oNotTrackFormatting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5BF"/>
    <w:rsid w:val="00005FDD"/>
    <w:rsid w:val="0003011D"/>
    <w:rsid w:val="0003259B"/>
    <w:rsid w:val="000367D9"/>
    <w:rsid w:val="00052F5B"/>
    <w:rsid w:val="0006035D"/>
    <w:rsid w:val="00066195"/>
    <w:rsid w:val="0009113A"/>
    <w:rsid w:val="0009447F"/>
    <w:rsid w:val="000A063E"/>
    <w:rsid w:val="000A70A4"/>
    <w:rsid w:val="000B743A"/>
    <w:rsid w:val="000C2362"/>
    <w:rsid w:val="000F4347"/>
    <w:rsid w:val="0011113C"/>
    <w:rsid w:val="0011293D"/>
    <w:rsid w:val="00145DA3"/>
    <w:rsid w:val="00150F86"/>
    <w:rsid w:val="00152C85"/>
    <w:rsid w:val="00163763"/>
    <w:rsid w:val="00183BD6"/>
    <w:rsid w:val="00194D3E"/>
    <w:rsid w:val="001D2AA0"/>
    <w:rsid w:val="001E72EB"/>
    <w:rsid w:val="002045B8"/>
    <w:rsid w:val="00211871"/>
    <w:rsid w:val="002128F3"/>
    <w:rsid w:val="0022030F"/>
    <w:rsid w:val="00220FDE"/>
    <w:rsid w:val="002265F9"/>
    <w:rsid w:val="00233797"/>
    <w:rsid w:val="00237B6B"/>
    <w:rsid w:val="002553E5"/>
    <w:rsid w:val="002704A3"/>
    <w:rsid w:val="00277690"/>
    <w:rsid w:val="002816AB"/>
    <w:rsid w:val="0028608F"/>
    <w:rsid w:val="002A28A3"/>
    <w:rsid w:val="002B0E6C"/>
    <w:rsid w:val="002B2048"/>
    <w:rsid w:val="002C15B5"/>
    <w:rsid w:val="002C1CDE"/>
    <w:rsid w:val="002C55F1"/>
    <w:rsid w:val="002D3216"/>
    <w:rsid w:val="002F1F7B"/>
    <w:rsid w:val="002F453B"/>
    <w:rsid w:val="002F68CF"/>
    <w:rsid w:val="00300EB3"/>
    <w:rsid w:val="00315B92"/>
    <w:rsid w:val="00330A9D"/>
    <w:rsid w:val="0034034E"/>
    <w:rsid w:val="00346532"/>
    <w:rsid w:val="0034661B"/>
    <w:rsid w:val="00367C9C"/>
    <w:rsid w:val="003B2B98"/>
    <w:rsid w:val="003B5208"/>
    <w:rsid w:val="003C5243"/>
    <w:rsid w:val="003D2419"/>
    <w:rsid w:val="003E24F8"/>
    <w:rsid w:val="003E7CDC"/>
    <w:rsid w:val="0040586C"/>
    <w:rsid w:val="00406856"/>
    <w:rsid w:val="004413F7"/>
    <w:rsid w:val="00441B09"/>
    <w:rsid w:val="004450D6"/>
    <w:rsid w:val="004637FB"/>
    <w:rsid w:val="004771F7"/>
    <w:rsid w:val="00484191"/>
    <w:rsid w:val="004879B5"/>
    <w:rsid w:val="004A02EB"/>
    <w:rsid w:val="004A209B"/>
    <w:rsid w:val="004B1863"/>
    <w:rsid w:val="004B6103"/>
    <w:rsid w:val="004E623E"/>
    <w:rsid w:val="004F0FE1"/>
    <w:rsid w:val="00506706"/>
    <w:rsid w:val="005069FD"/>
    <w:rsid w:val="0051332D"/>
    <w:rsid w:val="00526F6F"/>
    <w:rsid w:val="005624D4"/>
    <w:rsid w:val="005725F8"/>
    <w:rsid w:val="005766DA"/>
    <w:rsid w:val="005864D7"/>
    <w:rsid w:val="00597FF0"/>
    <w:rsid w:val="005A4E43"/>
    <w:rsid w:val="005C1404"/>
    <w:rsid w:val="005F1B50"/>
    <w:rsid w:val="006000C2"/>
    <w:rsid w:val="006840AA"/>
    <w:rsid w:val="006C6DE0"/>
    <w:rsid w:val="006E340A"/>
    <w:rsid w:val="006E4CF7"/>
    <w:rsid w:val="006E76C4"/>
    <w:rsid w:val="0072213C"/>
    <w:rsid w:val="00723883"/>
    <w:rsid w:val="00731299"/>
    <w:rsid w:val="007417E0"/>
    <w:rsid w:val="0077348F"/>
    <w:rsid w:val="007A30A4"/>
    <w:rsid w:val="007D11FC"/>
    <w:rsid w:val="007E08CE"/>
    <w:rsid w:val="007E4F32"/>
    <w:rsid w:val="007F0FE3"/>
    <w:rsid w:val="00811A63"/>
    <w:rsid w:val="0082121F"/>
    <w:rsid w:val="00827731"/>
    <w:rsid w:val="00844F93"/>
    <w:rsid w:val="008455B9"/>
    <w:rsid w:val="00846EAC"/>
    <w:rsid w:val="00857512"/>
    <w:rsid w:val="00876659"/>
    <w:rsid w:val="00885BB3"/>
    <w:rsid w:val="008865F5"/>
    <w:rsid w:val="008B42B3"/>
    <w:rsid w:val="008B454D"/>
    <w:rsid w:val="008C44A2"/>
    <w:rsid w:val="008D4045"/>
    <w:rsid w:val="008D6D0A"/>
    <w:rsid w:val="00902500"/>
    <w:rsid w:val="00905738"/>
    <w:rsid w:val="00931233"/>
    <w:rsid w:val="009322FE"/>
    <w:rsid w:val="00951D89"/>
    <w:rsid w:val="00955DB3"/>
    <w:rsid w:val="0097726E"/>
    <w:rsid w:val="009C3069"/>
    <w:rsid w:val="009D3171"/>
    <w:rsid w:val="009E3C7F"/>
    <w:rsid w:val="00A10ADB"/>
    <w:rsid w:val="00A202AD"/>
    <w:rsid w:val="00A20542"/>
    <w:rsid w:val="00A21FA3"/>
    <w:rsid w:val="00A26E0F"/>
    <w:rsid w:val="00A32DBC"/>
    <w:rsid w:val="00A3690E"/>
    <w:rsid w:val="00A4157C"/>
    <w:rsid w:val="00A47BD3"/>
    <w:rsid w:val="00A64F89"/>
    <w:rsid w:val="00A70150"/>
    <w:rsid w:val="00A71AFC"/>
    <w:rsid w:val="00AC3C8C"/>
    <w:rsid w:val="00AF2C6C"/>
    <w:rsid w:val="00B04E51"/>
    <w:rsid w:val="00B23506"/>
    <w:rsid w:val="00B241D5"/>
    <w:rsid w:val="00B25EB8"/>
    <w:rsid w:val="00B263E0"/>
    <w:rsid w:val="00B2740D"/>
    <w:rsid w:val="00B33833"/>
    <w:rsid w:val="00B37B8F"/>
    <w:rsid w:val="00B65182"/>
    <w:rsid w:val="00B77C7B"/>
    <w:rsid w:val="00B91666"/>
    <w:rsid w:val="00BA3CF1"/>
    <w:rsid w:val="00BA6797"/>
    <w:rsid w:val="00BC3C15"/>
    <w:rsid w:val="00BC53C3"/>
    <w:rsid w:val="00BD18BB"/>
    <w:rsid w:val="00BE5F73"/>
    <w:rsid w:val="00C22B07"/>
    <w:rsid w:val="00C26095"/>
    <w:rsid w:val="00C57560"/>
    <w:rsid w:val="00C64EBB"/>
    <w:rsid w:val="00C65714"/>
    <w:rsid w:val="00C66E31"/>
    <w:rsid w:val="00C701DC"/>
    <w:rsid w:val="00C74041"/>
    <w:rsid w:val="00C805AA"/>
    <w:rsid w:val="00C928A0"/>
    <w:rsid w:val="00C965BF"/>
    <w:rsid w:val="00CC5BE7"/>
    <w:rsid w:val="00CE1C90"/>
    <w:rsid w:val="00CE5B09"/>
    <w:rsid w:val="00CF70C6"/>
    <w:rsid w:val="00D00D9C"/>
    <w:rsid w:val="00D03F70"/>
    <w:rsid w:val="00D22064"/>
    <w:rsid w:val="00D452F5"/>
    <w:rsid w:val="00D51F94"/>
    <w:rsid w:val="00D73E8D"/>
    <w:rsid w:val="00D776BA"/>
    <w:rsid w:val="00D94763"/>
    <w:rsid w:val="00D971AF"/>
    <w:rsid w:val="00DB4C44"/>
    <w:rsid w:val="00DD67D9"/>
    <w:rsid w:val="00DE408A"/>
    <w:rsid w:val="00DF5457"/>
    <w:rsid w:val="00E037A2"/>
    <w:rsid w:val="00E35A72"/>
    <w:rsid w:val="00E372E0"/>
    <w:rsid w:val="00E37425"/>
    <w:rsid w:val="00E4347B"/>
    <w:rsid w:val="00E46B86"/>
    <w:rsid w:val="00E71BA5"/>
    <w:rsid w:val="00E72860"/>
    <w:rsid w:val="00E8359E"/>
    <w:rsid w:val="00E872F7"/>
    <w:rsid w:val="00E947E6"/>
    <w:rsid w:val="00EA385D"/>
    <w:rsid w:val="00EB6140"/>
    <w:rsid w:val="00EB677C"/>
    <w:rsid w:val="00EC1A3B"/>
    <w:rsid w:val="00EC4E8B"/>
    <w:rsid w:val="00EE7060"/>
    <w:rsid w:val="00F24AB7"/>
    <w:rsid w:val="00F3795F"/>
    <w:rsid w:val="00F50D06"/>
    <w:rsid w:val="00F52573"/>
    <w:rsid w:val="00F81171"/>
    <w:rsid w:val="00F82094"/>
    <w:rsid w:val="00F918A9"/>
    <w:rsid w:val="00F9287D"/>
    <w:rsid w:val="00F929E9"/>
    <w:rsid w:val="00FA3632"/>
    <w:rsid w:val="00FB3534"/>
    <w:rsid w:val="00FD0BA4"/>
    <w:rsid w:val="00FD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C3B0ADA"/>
  <w15:chartTrackingRefBased/>
  <w15:docId w15:val="{3FBD54D1-ED78-4BE3-80B2-1746F91A9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CH" w:eastAsia="it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Cs w:val="24"/>
      <w:lang w:val="de-CH"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  <w:i/>
      <w:iCs/>
      <w:sz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Funotentext">
    <w:name w:val="footnote text"/>
    <w:basedOn w:val="Standard"/>
    <w:semiHidden/>
    <w:rPr>
      <w:szCs w:val="20"/>
    </w:rPr>
  </w:style>
  <w:style w:type="character" w:styleId="Funotenzeichen">
    <w:name w:val="footnote reference"/>
    <w:semiHidden/>
    <w:rPr>
      <w:vertAlign w:val="superscript"/>
    </w:rPr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sz w:val="22"/>
      <w:szCs w:val="18"/>
      <w:lang w:val="de-D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autoSpaceDE w:val="0"/>
      <w:autoSpaceDN w:val="0"/>
      <w:adjustRightInd w:val="0"/>
    </w:pPr>
    <w:rPr>
      <w:b/>
      <w:bCs/>
      <w:sz w:val="24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70A4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70A4"/>
    <w:rPr>
      <w:rFonts w:ascii="Arial" w:hAnsi="Arial" w:cs="Arial"/>
      <w:lang w:val="de-CH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70A4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21F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21FA3"/>
    <w:rPr>
      <w:rFonts w:ascii="Arial" w:hAnsi="Arial" w:cs="Arial"/>
      <w:b/>
      <w:bCs/>
      <w:lang w:val="de-CH" w:eastAsia="de-DE"/>
    </w:rPr>
  </w:style>
  <w:style w:type="paragraph" w:styleId="berarbeitung">
    <w:name w:val="Revision"/>
    <w:hidden/>
    <w:uiPriority w:val="99"/>
    <w:semiHidden/>
    <w:rsid w:val="00CE1C90"/>
    <w:rPr>
      <w:rFonts w:ascii="Arial" w:hAnsi="Arial" w:cs="Arial"/>
      <w:szCs w:val="24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7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D8D9F-8C8D-4234-A01B-63E36646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1692</Words>
  <Characters>10276</Characters>
  <Application>Microsoft Office Word</Application>
  <DocSecurity>4</DocSecurity>
  <Lines>85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Musterreglement Berufsbildungsfonds</vt:lpstr>
      <vt:lpstr>Musterreglement Berufsbildungsfonds</vt:lpstr>
    </vt:vector>
  </TitlesOfParts>
  <Company>EVD</Company>
  <LinksUpToDate>false</LinksUpToDate>
  <CharactersWithSpaces>11945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Musterreglement Berufsbildungsfonds</dc:title>
  <dc:subject/>
  <dc:creator>sa</dc:creator>
  <cp:keywords/>
  <cp:lastModifiedBy>Tastan Esma SBFI</cp:lastModifiedBy>
  <cp:revision>2</cp:revision>
  <cp:lastPrinted>2019-10-08T07:32:00Z</cp:lastPrinted>
  <dcterms:created xsi:type="dcterms:W3CDTF">2025-07-02T13:28:00Z</dcterms:created>
  <dcterms:modified xsi:type="dcterms:W3CDTF">2025-07-02T13:28:00Z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2011-01-21/3512</vt:lpwstr>
  </property>
  <property fmtid="{D5CDD505-2E9C-101B-9397-08002B2CF9AE}" pid="3" name="FSC#EVDCFG@15.1400:DossierBarCode">
    <vt:lpwstr>*COO.2101.108.7.4562*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05.02.2013 13:09:12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/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COO.2101.108.5.185522</vt:lpwstr>
  </property>
  <property fmtid="{D5CDD505-2E9C-101B-9397-08002B2CF9AE}" pid="26" name="FSC#COOELAK@1.1001:Subject">
    <vt:lpwstr/>
  </property>
  <property fmtid="{D5CDD505-2E9C-101B-9397-08002B2CF9AE}" pid="27" name="FSC#COOELAK@1.1001:FileReference">
    <vt:lpwstr>D133.0-BBF Musterreglement 2010-2015 (133.0/2011/04724)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4724</vt:lpwstr>
  </property>
  <property fmtid="{D5CDD505-2E9C-101B-9397-08002B2CF9AE}" pid="30" name="FSC#COOELAK@1.1001:FileRefOU">
    <vt:lpwstr>R /BBT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Faba Administrator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Systemadministrator (Systemadministrator)</vt:lpwstr>
  </property>
  <property fmtid="{D5CDD505-2E9C-101B-9397-08002B2CF9AE}" pid="40" name="FSC#COOELAK@1.1001:CreatedAt">
    <vt:lpwstr>22.01.2011 01:42:18</vt:lpwstr>
  </property>
  <property fmtid="{D5CDD505-2E9C-101B-9397-08002B2CF9AE}" pid="41" name="FSC#COOELAK@1.1001:OU">
    <vt:lpwstr>Recht (RE/SBFI)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*COO.2101.108.5.185522*</vt:lpwstr>
  </property>
  <property fmtid="{D5CDD505-2E9C-101B-9397-08002B2CF9AE}" pid="44" name="FSC#COOELAK@1.1001:RefBarCode">
    <vt:lpwstr>*dok pem 120707 Musterreglement BBF_i*</vt:lpwstr>
  </property>
  <property fmtid="{D5CDD505-2E9C-101B-9397-08002B2CF9AE}" pid="45" name="FSC#COOELAK@1.1001:FileRefBarCode">
    <vt:lpwstr>*D133.0-BBF Musterreglement 2010-2015 (133.0/2011/04724)*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/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hans-joerg.hummel@sbfi.admin.ch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133.0</vt:lpwstr>
  </property>
  <property fmtid="{D5CDD505-2E9C-101B-9397-08002B2CF9AE}" pid="67" name="FSC#EVDCFG@15.1400:Dossierref">
    <vt:lpwstr>133.0/2011/04724</vt:lpwstr>
  </property>
  <property fmtid="{D5CDD505-2E9C-101B-9397-08002B2CF9AE}" pid="68" name="FSC#EVDCFG@15.1400:FileRespEmail">
    <vt:lpwstr>michael.peter@sbfi.admin.ch</vt:lpwstr>
  </property>
  <property fmtid="{D5CDD505-2E9C-101B-9397-08002B2CF9AE}" pid="69" name="FSC#EVDCFG@15.1400:FileRespFax">
    <vt:lpwstr>+41 31 322 75 50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Michael Peter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Recht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pem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+41 31 325 32 97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/>
  </property>
  <property fmtid="{D5CDD505-2E9C-101B-9397-08002B2CF9AE}" pid="92" name="FSC#EVDCFG@15.1400:Subject">
    <vt:lpwstr>Changed: 2009-03-09 13:39</vt:lpwstr>
  </property>
  <property fmtid="{D5CDD505-2E9C-101B-9397-08002B2CF9AE}" pid="93" name="FSC#EVDCFG@15.1400:Title">
    <vt:lpwstr>dok pem 120707 Musterreglement BBF_i</vt:lpwstr>
  </property>
  <property fmtid="{D5CDD505-2E9C-101B-9397-08002B2CF9AE}" pid="94" name="FSC#EVDCFG@15.1400:UserFunction">
    <vt:lpwstr/>
  </property>
  <property fmtid="{D5CDD505-2E9C-101B-9397-08002B2CF9AE}" pid="95" name="FSC#EVDCFG@15.1400:SalutationEnglish">
    <vt:lpwstr>VET/PET: Legal Affairs</vt:lpwstr>
  </property>
  <property fmtid="{D5CDD505-2E9C-101B-9397-08002B2CF9AE}" pid="96" name="FSC#EVDCFG@15.1400:SalutationFrench">
    <vt:lpwstr>Formation professionnelle: Droit</vt:lpwstr>
  </property>
  <property fmtid="{D5CDD505-2E9C-101B-9397-08002B2CF9AE}" pid="97" name="FSC#EVDCFG@15.1400:SalutationGerman">
    <vt:lpwstr>Berufsbildung: Recht</vt:lpwstr>
  </property>
  <property fmtid="{D5CDD505-2E9C-101B-9397-08002B2CF9AE}" pid="98" name="FSC#EVDCFG@15.1400:SalutationItalian">
    <vt:lpwstr>Formazione professionale: Diritto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Juriste</vt:lpwstr>
  </property>
  <property fmtid="{D5CDD505-2E9C-101B-9397-08002B2CF9AE}" pid="101" name="FSC#EVDCFG@15.1400:SalutationGermanUser">
    <vt:lpwstr>Wissenschaftlicher Berater Ressort Recht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RE/SBFI</vt:lpwstr>
  </property>
  <property fmtid="{D5CDD505-2E9C-101B-9397-08002B2CF9AE}" pid="104" name="MSIP_Label_245c3252-146d-46f3-8062-82cd8c8d7e7d_Enabled">
    <vt:lpwstr>true</vt:lpwstr>
  </property>
  <property fmtid="{D5CDD505-2E9C-101B-9397-08002B2CF9AE}" pid="105" name="MSIP_Label_245c3252-146d-46f3-8062-82cd8c8d7e7d_SetDate">
    <vt:lpwstr>2025-06-25T12:48:57Z</vt:lpwstr>
  </property>
  <property fmtid="{D5CDD505-2E9C-101B-9397-08002B2CF9AE}" pid="106" name="MSIP_Label_245c3252-146d-46f3-8062-82cd8c8d7e7d_Method">
    <vt:lpwstr>Privileged</vt:lpwstr>
  </property>
  <property fmtid="{D5CDD505-2E9C-101B-9397-08002B2CF9AE}" pid="107" name="MSIP_Label_245c3252-146d-46f3-8062-82cd8c8d7e7d_Name">
    <vt:lpwstr>L1</vt:lpwstr>
  </property>
  <property fmtid="{D5CDD505-2E9C-101B-9397-08002B2CF9AE}" pid="108" name="MSIP_Label_245c3252-146d-46f3-8062-82cd8c8d7e7d_SiteId">
    <vt:lpwstr>6ae27add-8276-4a38-88c1-3a9c1f973767</vt:lpwstr>
  </property>
  <property fmtid="{D5CDD505-2E9C-101B-9397-08002B2CF9AE}" pid="109" name="MSIP_Label_245c3252-146d-46f3-8062-82cd8c8d7e7d_ActionId">
    <vt:lpwstr>4a0227f9-3d88-49e7-ae96-052131742da9</vt:lpwstr>
  </property>
  <property fmtid="{D5CDD505-2E9C-101B-9397-08002B2CF9AE}" pid="110" name="MSIP_Label_245c3252-146d-46f3-8062-82cd8c8d7e7d_ContentBits">
    <vt:lpwstr>0</vt:lpwstr>
  </property>
  <property fmtid="{D5CDD505-2E9C-101B-9397-08002B2CF9AE}" pid="111" name="MSIP_Label_245c3252-146d-46f3-8062-82cd8c8d7e7d_Tag">
    <vt:lpwstr>10, 0, 1, 1</vt:lpwstr>
  </property>
</Properties>
</file>