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08D" w:rsidRDefault="0013008D">
      <w:pPr>
        <w:pStyle w:val="Textkrper"/>
        <w:rPr>
          <w:rFonts w:ascii="Times New Roman"/>
          <w:sz w:val="20"/>
        </w:rPr>
      </w:pPr>
      <w:bookmarkStart w:id="0" w:name="_GoBack"/>
      <w:bookmarkEnd w:id="0"/>
    </w:p>
    <w:p w:rsidR="0013008D" w:rsidRDefault="0013008D">
      <w:pPr>
        <w:pStyle w:val="Textkrper"/>
        <w:spacing w:before="7"/>
        <w:rPr>
          <w:rFonts w:ascii="Times New Roman"/>
          <w:sz w:val="28"/>
        </w:rPr>
      </w:pPr>
    </w:p>
    <w:p w:rsidR="0013008D" w:rsidRDefault="0013008D">
      <w:pPr>
        <w:rPr>
          <w:rFonts w:ascii="Times New Roman"/>
          <w:sz w:val="28"/>
        </w:rPr>
        <w:sectPr w:rsidR="0013008D">
          <w:type w:val="continuous"/>
          <w:pgSz w:w="11910" w:h="16840"/>
          <w:pgMar w:top="400" w:right="1300" w:bottom="280" w:left="460" w:header="720" w:footer="720" w:gutter="0"/>
          <w:cols w:space="720"/>
        </w:sectPr>
      </w:pPr>
    </w:p>
    <w:p w:rsidR="0013008D" w:rsidRDefault="0013008D">
      <w:pPr>
        <w:pStyle w:val="Textkrper"/>
        <w:rPr>
          <w:rFonts w:ascii="Times New Roman"/>
          <w:sz w:val="24"/>
        </w:rPr>
      </w:pPr>
    </w:p>
    <w:p w:rsidR="0013008D" w:rsidRDefault="0013008D">
      <w:pPr>
        <w:pStyle w:val="Textkrper"/>
        <w:rPr>
          <w:rFonts w:ascii="Times New Roman"/>
          <w:sz w:val="24"/>
        </w:rPr>
      </w:pPr>
    </w:p>
    <w:p w:rsidR="0013008D" w:rsidRDefault="0013008D">
      <w:pPr>
        <w:pStyle w:val="Textkrper"/>
        <w:rPr>
          <w:rFonts w:ascii="Times New Roman"/>
          <w:sz w:val="24"/>
        </w:rPr>
      </w:pPr>
    </w:p>
    <w:p w:rsidR="0013008D" w:rsidRDefault="0013008D">
      <w:pPr>
        <w:pStyle w:val="Textkrper"/>
        <w:rPr>
          <w:rFonts w:ascii="Times New Roman"/>
          <w:sz w:val="24"/>
        </w:rPr>
      </w:pPr>
    </w:p>
    <w:p w:rsidR="0013008D" w:rsidRDefault="0013008D">
      <w:pPr>
        <w:pStyle w:val="Textkrper"/>
        <w:rPr>
          <w:rFonts w:ascii="Times New Roman"/>
          <w:sz w:val="24"/>
        </w:rPr>
      </w:pPr>
    </w:p>
    <w:p w:rsidR="0013008D" w:rsidRDefault="0013008D">
      <w:pPr>
        <w:pStyle w:val="Textkrper"/>
        <w:rPr>
          <w:rFonts w:ascii="Times New Roman"/>
          <w:sz w:val="24"/>
        </w:rPr>
      </w:pPr>
    </w:p>
    <w:p w:rsidR="0013008D" w:rsidRDefault="0013008D">
      <w:pPr>
        <w:pStyle w:val="Textkrper"/>
        <w:spacing w:before="9"/>
        <w:rPr>
          <w:rFonts w:ascii="Times New Roman"/>
          <w:sz w:val="32"/>
        </w:rPr>
      </w:pPr>
    </w:p>
    <w:p w:rsidR="0013008D" w:rsidRDefault="00C02B60">
      <w:pPr>
        <w:pStyle w:val="Textkrper"/>
        <w:spacing w:line="244" w:lineRule="auto"/>
        <w:ind w:left="1524"/>
      </w:pPr>
      <w:r>
        <w:rPr>
          <w:noProof/>
          <w:lang w:val="de-CH" w:eastAsia="de-CH" w:bidi="ar-SA"/>
        </w:rPr>
        <w:drawing>
          <wp:anchor distT="0" distB="0" distL="0" distR="0" simplePos="0" relativeHeight="1024" behindDoc="0" locked="0" layoutInCell="1" allowOverlap="1">
            <wp:simplePos x="0" y="0"/>
            <wp:positionH relativeFrom="page">
              <wp:posOffset>360003</wp:posOffset>
            </wp:positionH>
            <wp:positionV relativeFrom="paragraph">
              <wp:posOffset>-1640221</wp:posOffset>
            </wp:positionV>
            <wp:extent cx="804786" cy="108076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804786" cy="1080769"/>
                    </a:xfrm>
                    <a:prstGeom prst="rect">
                      <a:avLst/>
                    </a:prstGeom>
                  </pic:spPr>
                </pic:pic>
              </a:graphicData>
            </a:graphic>
          </wp:anchor>
        </w:drawing>
      </w:r>
      <w:r>
        <w:rPr>
          <w:noProof/>
          <w:lang w:val="de-CH" w:eastAsia="de-CH" w:bidi="ar-SA"/>
        </w:rPr>
        <w:drawing>
          <wp:anchor distT="0" distB="0" distL="0" distR="0" simplePos="0" relativeHeight="1048" behindDoc="0" locked="0" layoutInCell="1" allowOverlap="1">
            <wp:simplePos x="0" y="0"/>
            <wp:positionH relativeFrom="page">
              <wp:posOffset>4913998</wp:posOffset>
            </wp:positionH>
            <wp:positionV relativeFrom="paragraph">
              <wp:posOffset>-1209065</wp:posOffset>
            </wp:positionV>
            <wp:extent cx="216001" cy="21590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216001" cy="215900"/>
                    </a:xfrm>
                    <a:prstGeom prst="rect">
                      <a:avLst/>
                    </a:prstGeom>
                  </pic:spPr>
                </pic:pic>
              </a:graphicData>
            </a:graphic>
          </wp:anchor>
        </w:drawing>
      </w:r>
      <w:r>
        <w:rPr>
          <w:color w:val="0B0E10"/>
        </w:rPr>
        <w:t>Eidgenössisches Departement für Wirtschaft, Bildung und Forschung</w:t>
      </w:r>
    </w:p>
    <w:p w:rsidR="0013008D" w:rsidRDefault="00C02B60">
      <w:pPr>
        <w:pStyle w:val="Textkrper"/>
        <w:spacing w:line="244" w:lineRule="auto"/>
        <w:ind w:left="1524" w:right="1337"/>
      </w:pPr>
      <w:r>
        <w:rPr>
          <w:color w:val="0B0E10"/>
        </w:rPr>
        <w:t>Staatssekretariat für Bildung Forschung und Innovation SBFI Abteilung Hochschulen Einsteinstrasse 2</w:t>
      </w:r>
    </w:p>
    <w:p w:rsidR="0013008D" w:rsidRDefault="00C02B60">
      <w:pPr>
        <w:pStyle w:val="Textkrper"/>
        <w:spacing w:before="1"/>
        <w:ind w:left="1524"/>
      </w:pPr>
      <w:r>
        <w:rPr>
          <w:color w:val="0B0E10"/>
        </w:rPr>
        <w:t>3003 Bern</w:t>
      </w:r>
    </w:p>
    <w:p w:rsidR="0013008D" w:rsidRDefault="00C02B60">
      <w:pPr>
        <w:spacing w:before="102" w:line="252" w:lineRule="auto"/>
        <w:ind w:left="588" w:right="1185"/>
        <w:rPr>
          <w:rFonts w:ascii="HelveticaNeueLT Pro 95 Blk" w:hAnsi="HelveticaNeueLT Pro 95 Blk"/>
          <w:b/>
          <w:sz w:val="16"/>
        </w:rPr>
      </w:pPr>
      <w:r>
        <w:br w:type="column"/>
      </w:r>
      <w:r>
        <w:rPr>
          <w:rFonts w:ascii="HelveticaNeueLT Pro 95 Blk" w:hAnsi="HelveticaNeueLT Pro 95 Blk"/>
          <w:b/>
          <w:color w:val="0B0E10"/>
          <w:sz w:val="16"/>
        </w:rPr>
        <w:t>Kanton Zürich Regierungsrat</w:t>
      </w:r>
    </w:p>
    <w:p w:rsidR="0013008D" w:rsidRDefault="0013008D">
      <w:pPr>
        <w:spacing w:line="252" w:lineRule="auto"/>
        <w:rPr>
          <w:rFonts w:ascii="HelveticaNeueLT Pro 95 Blk" w:hAnsi="HelveticaNeueLT Pro 95 Blk"/>
          <w:sz w:val="16"/>
        </w:rPr>
        <w:sectPr w:rsidR="0013008D">
          <w:type w:val="continuous"/>
          <w:pgSz w:w="11910" w:h="16840"/>
          <w:pgMar w:top="400" w:right="1300" w:bottom="280" w:left="460" w:header="720" w:footer="720" w:gutter="0"/>
          <w:cols w:num="2" w:space="720" w:equalWidth="0">
            <w:col w:w="5845" w:space="1326"/>
            <w:col w:w="2979"/>
          </w:cols>
        </w:sectPr>
      </w:pPr>
    </w:p>
    <w:p w:rsidR="0013008D" w:rsidRDefault="0013008D">
      <w:pPr>
        <w:pStyle w:val="Textkrper"/>
        <w:rPr>
          <w:rFonts w:ascii="HelveticaNeueLT Pro 95 Blk"/>
          <w:b/>
          <w:sz w:val="20"/>
        </w:rPr>
      </w:pPr>
    </w:p>
    <w:p w:rsidR="0013008D" w:rsidRDefault="0013008D">
      <w:pPr>
        <w:pStyle w:val="Textkrper"/>
        <w:rPr>
          <w:rFonts w:ascii="HelveticaNeueLT Pro 95 Blk"/>
          <w:b/>
          <w:sz w:val="20"/>
        </w:rPr>
      </w:pPr>
    </w:p>
    <w:p w:rsidR="0013008D" w:rsidRDefault="0013008D">
      <w:pPr>
        <w:pStyle w:val="Textkrper"/>
        <w:rPr>
          <w:rFonts w:ascii="HelveticaNeueLT Pro 95 Blk"/>
          <w:b/>
          <w:sz w:val="20"/>
        </w:rPr>
      </w:pPr>
    </w:p>
    <w:p w:rsidR="0013008D" w:rsidRDefault="0013008D">
      <w:pPr>
        <w:pStyle w:val="Textkrper"/>
        <w:spacing w:before="7"/>
        <w:rPr>
          <w:rFonts w:ascii="HelveticaNeueLT Pro 95 Blk"/>
          <w:b/>
          <w:sz w:val="22"/>
        </w:rPr>
      </w:pPr>
    </w:p>
    <w:p w:rsidR="0013008D" w:rsidRDefault="00C02B60">
      <w:pPr>
        <w:pStyle w:val="Textkrper"/>
        <w:ind w:left="1524"/>
      </w:pPr>
      <w:r>
        <w:rPr>
          <w:color w:val="0B0E10"/>
        </w:rPr>
        <w:t>20. März 2019 (RRB Nr. 264/2019)</w:t>
      </w:r>
    </w:p>
    <w:p w:rsidR="0013008D" w:rsidRDefault="00C02B60">
      <w:pPr>
        <w:spacing w:before="5"/>
        <w:ind w:left="1524" w:right="1244"/>
        <w:rPr>
          <w:rFonts w:ascii="HelveticaNeueLT Pro 95 Blk" w:hAnsi="HelveticaNeueLT Pro 95 Blk"/>
          <w:b/>
          <w:sz w:val="21"/>
        </w:rPr>
      </w:pPr>
      <w:r>
        <w:rPr>
          <w:rFonts w:ascii="HelveticaNeueLT Pro 95 Blk" w:hAnsi="HelveticaNeueLT Pro 95 Blk"/>
          <w:b/>
          <w:color w:val="0B0E10"/>
          <w:sz w:val="21"/>
        </w:rPr>
        <w:t>Entwurf zum Bundesgesetz über die Eidgenössische Hochschule für Berufsbildung (EHB-Gesetz); Vernehmlassung</w:t>
      </w:r>
    </w:p>
    <w:p w:rsidR="0013008D" w:rsidRDefault="0013008D">
      <w:pPr>
        <w:pStyle w:val="Textkrper"/>
        <w:rPr>
          <w:rFonts w:ascii="HelveticaNeueLT Pro 95 Blk"/>
          <w:b/>
          <w:sz w:val="24"/>
        </w:rPr>
      </w:pPr>
    </w:p>
    <w:p w:rsidR="0013008D" w:rsidRDefault="0013008D">
      <w:pPr>
        <w:pStyle w:val="Textkrper"/>
        <w:rPr>
          <w:rFonts w:ascii="HelveticaNeueLT Pro 95 Blk"/>
          <w:b/>
          <w:sz w:val="24"/>
        </w:rPr>
      </w:pPr>
    </w:p>
    <w:p w:rsidR="0013008D" w:rsidRDefault="0013008D">
      <w:pPr>
        <w:pStyle w:val="Textkrper"/>
        <w:rPr>
          <w:rFonts w:ascii="HelveticaNeueLT Pro 95 Blk"/>
          <w:b/>
          <w:sz w:val="24"/>
        </w:rPr>
      </w:pPr>
    </w:p>
    <w:p w:rsidR="0013008D" w:rsidRDefault="0013008D">
      <w:pPr>
        <w:pStyle w:val="Textkrper"/>
        <w:rPr>
          <w:rFonts w:ascii="HelveticaNeueLT Pro 95 Blk"/>
          <w:b/>
          <w:sz w:val="24"/>
        </w:rPr>
      </w:pPr>
    </w:p>
    <w:p w:rsidR="0013008D" w:rsidRDefault="0013008D">
      <w:pPr>
        <w:pStyle w:val="Textkrper"/>
        <w:spacing w:before="10"/>
        <w:rPr>
          <w:rFonts w:ascii="HelveticaNeueLT Pro 95 Blk"/>
          <w:b/>
          <w:sz w:val="29"/>
        </w:rPr>
      </w:pPr>
    </w:p>
    <w:p w:rsidR="0013008D" w:rsidRDefault="00C02B60">
      <w:pPr>
        <w:pStyle w:val="Textkrper"/>
        <w:ind w:left="1524"/>
      </w:pPr>
      <w:r>
        <w:rPr>
          <w:color w:val="0B0E10"/>
        </w:rPr>
        <w:t>Sehr geehrter Herr Bundesrat</w:t>
      </w:r>
    </w:p>
    <w:p w:rsidR="0013008D" w:rsidRDefault="0013008D">
      <w:pPr>
        <w:pStyle w:val="Textkrper"/>
        <w:rPr>
          <w:sz w:val="24"/>
        </w:rPr>
      </w:pPr>
    </w:p>
    <w:p w:rsidR="0013008D" w:rsidRDefault="0013008D">
      <w:pPr>
        <w:pStyle w:val="Textkrper"/>
        <w:spacing w:before="2"/>
        <w:rPr>
          <w:sz w:val="20"/>
        </w:rPr>
      </w:pPr>
    </w:p>
    <w:p w:rsidR="0013008D" w:rsidRDefault="00C02B60">
      <w:pPr>
        <w:pStyle w:val="Textkrper"/>
        <w:spacing w:line="244" w:lineRule="auto"/>
        <w:ind w:left="1524" w:right="378"/>
        <w:jc w:val="both"/>
      </w:pPr>
      <w:r>
        <w:rPr>
          <w:color w:val="0B0E10"/>
        </w:rPr>
        <w:t xml:space="preserve">Mit Schreiben vom </w:t>
      </w:r>
      <w:r>
        <w:rPr>
          <w:color w:val="0B0E10"/>
          <w:spacing w:val="-13"/>
        </w:rPr>
        <w:t xml:space="preserve">7. </w:t>
      </w:r>
      <w:r>
        <w:rPr>
          <w:color w:val="0B0E10"/>
        </w:rPr>
        <w:t xml:space="preserve">Dezember </w:t>
      </w:r>
      <w:r>
        <w:rPr>
          <w:color w:val="0B0E10"/>
          <w:spacing w:val="-6"/>
        </w:rPr>
        <w:t xml:space="preserve">2018 </w:t>
      </w:r>
      <w:r>
        <w:rPr>
          <w:color w:val="0B0E10"/>
        </w:rPr>
        <w:t>haben Sie uns eingeladen, zum Entwurf des EHB- Gesetzes Stellung zu nehmen. Wir danken Ihnen für diese Gelegenheit und äussern uns wie folgt:</w:t>
      </w:r>
    </w:p>
    <w:p w:rsidR="0013008D" w:rsidRDefault="00C02B60">
      <w:pPr>
        <w:pStyle w:val="Textkrper"/>
        <w:spacing w:before="114" w:line="244" w:lineRule="auto"/>
        <w:ind w:left="1524" w:right="165"/>
      </w:pPr>
      <w:r>
        <w:rPr>
          <w:color w:val="0B0E10"/>
        </w:rPr>
        <w:t>Das Eidgenössische Hochschulinstitut für Berufsbildung (EHB) ist das Kompetenzzentrum des Bundes für Berufsbildung</w:t>
      </w:r>
      <w:r>
        <w:rPr>
          <w:color w:val="0B0E10"/>
        </w:rPr>
        <w:t xml:space="preserve"> mit Leistungsauftrag in den Bereichen Aus- und Weiterbil- dung, Forschung und Entwicklung sowie Dienstleistungen. Seine Angebote in der Aus- und Weiterbildung von Lehrpersonen in der Berufsbildung, von Prüfungsexpertinnen und</w:t>
      </w:r>
    </w:p>
    <w:p w:rsidR="0013008D" w:rsidRDefault="00C02B60">
      <w:pPr>
        <w:pStyle w:val="Textkrper"/>
        <w:spacing w:before="1" w:line="244" w:lineRule="auto"/>
        <w:ind w:left="1524" w:right="144"/>
      </w:pPr>
      <w:r>
        <w:rPr>
          <w:color w:val="0B0E10"/>
        </w:rPr>
        <w:t>-experten</w:t>
      </w:r>
      <w:r>
        <w:rPr>
          <w:color w:val="0B0E10"/>
          <w:spacing w:val="-11"/>
        </w:rPr>
        <w:t xml:space="preserve"> </w:t>
      </w:r>
      <w:r>
        <w:rPr>
          <w:color w:val="0B0E10"/>
        </w:rPr>
        <w:t>sowie</w:t>
      </w:r>
      <w:r>
        <w:rPr>
          <w:color w:val="0B0E10"/>
          <w:spacing w:val="-10"/>
        </w:rPr>
        <w:t xml:space="preserve"> </w:t>
      </w:r>
      <w:r>
        <w:rPr>
          <w:color w:val="0B0E10"/>
        </w:rPr>
        <w:t>von</w:t>
      </w:r>
      <w:r>
        <w:rPr>
          <w:color w:val="0B0E10"/>
          <w:spacing w:val="-10"/>
        </w:rPr>
        <w:t xml:space="preserve"> </w:t>
      </w:r>
      <w:r>
        <w:rPr>
          <w:color w:val="0B0E10"/>
        </w:rPr>
        <w:t>weiteren</w:t>
      </w:r>
      <w:r>
        <w:rPr>
          <w:color w:val="0B0E10"/>
          <w:spacing w:val="-10"/>
        </w:rPr>
        <w:t xml:space="preserve"> </w:t>
      </w:r>
      <w:r>
        <w:rPr>
          <w:color w:val="0B0E10"/>
        </w:rPr>
        <w:t>Berufsbildungsverantwortlichen</w:t>
      </w:r>
      <w:r>
        <w:rPr>
          <w:color w:val="0B0E10"/>
          <w:spacing w:val="-11"/>
        </w:rPr>
        <w:t xml:space="preserve"> </w:t>
      </w:r>
      <w:r>
        <w:rPr>
          <w:color w:val="0B0E10"/>
        </w:rPr>
        <w:t>sind</w:t>
      </w:r>
      <w:r>
        <w:rPr>
          <w:color w:val="0B0E10"/>
          <w:spacing w:val="-10"/>
        </w:rPr>
        <w:t xml:space="preserve"> </w:t>
      </w:r>
      <w:r>
        <w:rPr>
          <w:color w:val="0B0E10"/>
        </w:rPr>
        <w:t>anerkannt</w:t>
      </w:r>
      <w:r>
        <w:rPr>
          <w:color w:val="0B0E10"/>
          <w:spacing w:val="-10"/>
        </w:rPr>
        <w:t xml:space="preserve"> </w:t>
      </w:r>
      <w:r>
        <w:rPr>
          <w:color w:val="0B0E10"/>
        </w:rPr>
        <w:t>und</w:t>
      </w:r>
      <w:r>
        <w:rPr>
          <w:color w:val="0B0E10"/>
          <w:spacing w:val="-10"/>
        </w:rPr>
        <w:t xml:space="preserve"> </w:t>
      </w:r>
      <w:r>
        <w:rPr>
          <w:color w:val="0B0E10"/>
        </w:rPr>
        <w:t>nament- lich auch für die französisch- und italienischsprachige Schweiz von grosser Bedeutung,  da es dort weitgehend als alleiniger Anbieter auftritt. Darüber hinaus erbringt das EHB zentrale Leistungen in</w:t>
      </w:r>
      <w:r>
        <w:rPr>
          <w:color w:val="0B0E10"/>
        </w:rPr>
        <w:t xml:space="preserve"> der allgemeinen Berufsentwicklung, der Zusammenarbeit mit Bund, Kantonen, Hochschulen und Organisationen der Arbeitswelt sowie im Austausch mit dem Ausland. Es ist aus diesen Gründen grundsätzlich sachgerecht, das EHB künftig in der Hochschullandschaft Sc</w:t>
      </w:r>
      <w:r>
        <w:rPr>
          <w:color w:val="0B0E10"/>
        </w:rPr>
        <w:t xml:space="preserve">hweiz nach Massgabe des Hochschulförderungs- und -koordina- tionsgesetzes vom 30. September </w:t>
      </w:r>
      <w:r>
        <w:rPr>
          <w:color w:val="0B0E10"/>
          <w:spacing w:val="-8"/>
        </w:rPr>
        <w:t xml:space="preserve">2011 </w:t>
      </w:r>
      <w:r>
        <w:rPr>
          <w:color w:val="0B0E10"/>
          <w:spacing w:val="-2"/>
        </w:rPr>
        <w:t xml:space="preserve">(HFKG, </w:t>
      </w:r>
      <w:r>
        <w:rPr>
          <w:color w:val="0B0E10"/>
        </w:rPr>
        <w:t xml:space="preserve">SR </w:t>
      </w:r>
      <w:r>
        <w:rPr>
          <w:color w:val="0B0E10"/>
          <w:spacing w:val="-5"/>
        </w:rPr>
        <w:t xml:space="preserve">414.20) </w:t>
      </w:r>
      <w:r>
        <w:rPr>
          <w:color w:val="0B0E10"/>
        </w:rPr>
        <w:t>zu verankern. Das vorliegende EHB-Gesetz schafft hierfür die formalrechtlichen</w:t>
      </w:r>
      <w:r>
        <w:rPr>
          <w:color w:val="0B0E10"/>
          <w:spacing w:val="3"/>
        </w:rPr>
        <w:t xml:space="preserve"> </w:t>
      </w:r>
      <w:r>
        <w:rPr>
          <w:color w:val="0B0E10"/>
        </w:rPr>
        <w:t>Voraussetzungen.</w:t>
      </w:r>
    </w:p>
    <w:p w:rsidR="0013008D" w:rsidRDefault="0013008D">
      <w:pPr>
        <w:spacing w:line="244" w:lineRule="auto"/>
        <w:sectPr w:rsidR="0013008D">
          <w:type w:val="continuous"/>
          <w:pgSz w:w="11910" w:h="16840"/>
          <w:pgMar w:top="400" w:right="1300" w:bottom="280" w:left="460" w:header="720" w:footer="720" w:gutter="0"/>
          <w:cols w:space="720"/>
        </w:sectPr>
      </w:pPr>
    </w:p>
    <w:p w:rsidR="0013008D" w:rsidRDefault="0013008D">
      <w:pPr>
        <w:pStyle w:val="Textkrper"/>
        <w:rPr>
          <w:sz w:val="20"/>
        </w:rPr>
      </w:pPr>
    </w:p>
    <w:p w:rsidR="0013008D" w:rsidRDefault="0013008D">
      <w:pPr>
        <w:pStyle w:val="Textkrper"/>
        <w:rPr>
          <w:sz w:val="20"/>
        </w:rPr>
      </w:pPr>
    </w:p>
    <w:p w:rsidR="0013008D" w:rsidRDefault="0013008D">
      <w:pPr>
        <w:pStyle w:val="Textkrper"/>
        <w:rPr>
          <w:sz w:val="20"/>
        </w:rPr>
      </w:pPr>
    </w:p>
    <w:p w:rsidR="0013008D" w:rsidRDefault="0013008D">
      <w:pPr>
        <w:pStyle w:val="Textkrper"/>
        <w:rPr>
          <w:sz w:val="20"/>
        </w:rPr>
      </w:pPr>
    </w:p>
    <w:p w:rsidR="0013008D" w:rsidRDefault="0013008D">
      <w:pPr>
        <w:pStyle w:val="Textkrper"/>
        <w:rPr>
          <w:sz w:val="20"/>
        </w:rPr>
      </w:pPr>
    </w:p>
    <w:p w:rsidR="0013008D" w:rsidRDefault="0013008D">
      <w:pPr>
        <w:pStyle w:val="Textkrper"/>
        <w:spacing w:before="3"/>
        <w:rPr>
          <w:sz w:val="25"/>
        </w:rPr>
      </w:pPr>
    </w:p>
    <w:p w:rsidR="0013008D" w:rsidRDefault="00C02B60">
      <w:pPr>
        <w:pStyle w:val="Textkrper"/>
        <w:spacing w:before="105" w:line="244" w:lineRule="auto"/>
        <w:ind w:left="1524" w:right="115"/>
      </w:pPr>
      <w:r>
        <w:rPr>
          <w:color w:val="0B0E10"/>
        </w:rPr>
        <w:t xml:space="preserve">Zwei zentrale Regelungen des neuen EHB-Gesetzes lehnen wir hingegen ab. Dies betrifft vorab die Verankerung des EHB als Hochschule für Berufsbildung und, daran anknüpfend, die Akkreditierung als pädagogische Hochschule. Auch wenn das </w:t>
      </w:r>
      <w:r>
        <w:rPr>
          <w:color w:val="0B0E10"/>
          <w:spacing w:val="-4"/>
        </w:rPr>
        <w:t xml:space="preserve">HFKG </w:t>
      </w:r>
      <w:r>
        <w:rPr>
          <w:color w:val="0B0E10"/>
        </w:rPr>
        <w:t>keine eigentliche</w:t>
      </w:r>
      <w:r>
        <w:rPr>
          <w:color w:val="0B0E10"/>
        </w:rPr>
        <w:t>n Kriterien für eine pädagogische Hochschule nennt, muss diesbezüglich der Leistungsauf- trag der kantonalen Pädagogischen Hochschulen den massgeblichen Orientierungsrah- men bilden. Das EHB bietet derzeit nur einen Bologna-konformen Studiengang an (Master</w:t>
      </w:r>
      <w:r>
        <w:rPr>
          <w:color w:val="0B0E10"/>
        </w:rPr>
        <w:t xml:space="preserve"> of Science in Berufsbildung), der seit der Einführung 2007 rund fünf Abschlüsse pro Jahr aufweist. Auch führen weder die bestehenden noch die geplanten Bachelor- oder Master- studiengänge des EHB zu einem Lehrdiplom. Für eine pädagogische Hochschule ist d</w:t>
      </w:r>
      <w:r>
        <w:rPr>
          <w:color w:val="0B0E10"/>
        </w:rPr>
        <w:t xml:space="preserve">iese Grundlage deutlich zu schmal. Ferner lässt sich die Finanzierung aus Bundesmitteln mit dem Status einer pädagogischen Hochschule nicht vereinbaren, da gemäss </w:t>
      </w:r>
      <w:r>
        <w:rPr>
          <w:color w:val="0B0E10"/>
          <w:spacing w:val="2"/>
        </w:rPr>
        <w:t xml:space="preserve">Art. </w:t>
      </w:r>
      <w:r>
        <w:rPr>
          <w:color w:val="0B0E10"/>
          <w:spacing w:val="-6"/>
        </w:rPr>
        <w:t xml:space="preserve">47 </w:t>
      </w:r>
      <w:r>
        <w:rPr>
          <w:color w:val="0B0E10"/>
        </w:rPr>
        <w:t xml:space="preserve">Abs. 2 </w:t>
      </w:r>
      <w:r>
        <w:rPr>
          <w:color w:val="0B0E10"/>
          <w:spacing w:val="-3"/>
        </w:rPr>
        <w:t xml:space="preserve">HFKG </w:t>
      </w:r>
      <w:r>
        <w:rPr>
          <w:color w:val="0B0E10"/>
        </w:rPr>
        <w:t>solche Hochschulen nur projektgebundene Beiträge des Bundes erhalten. Sch</w:t>
      </w:r>
      <w:r>
        <w:rPr>
          <w:color w:val="0B0E10"/>
        </w:rPr>
        <w:t xml:space="preserve">liess- lich besteht ein weiterer Widerspruch zu </w:t>
      </w:r>
      <w:r>
        <w:rPr>
          <w:color w:val="0B0E10"/>
          <w:spacing w:val="2"/>
        </w:rPr>
        <w:t xml:space="preserve">Art. </w:t>
      </w:r>
      <w:r>
        <w:rPr>
          <w:color w:val="0B0E10"/>
          <w:spacing w:val="-5"/>
        </w:rPr>
        <w:t xml:space="preserve">24 </w:t>
      </w:r>
      <w:r>
        <w:rPr>
          <w:color w:val="0B0E10"/>
          <w:spacing w:val="-3"/>
        </w:rPr>
        <w:t xml:space="preserve">HFKG. </w:t>
      </w:r>
      <w:r>
        <w:rPr>
          <w:color w:val="0B0E10"/>
        </w:rPr>
        <w:t xml:space="preserve">Nach dieser Bestimmung erfolgt der Regelzugang zur ersten Stufe einer pädagogischen Hochschule über eine gymnasiale Maturität (Abs. </w:t>
      </w:r>
      <w:r>
        <w:rPr>
          <w:color w:val="0B0E10"/>
          <w:spacing w:val="-7"/>
        </w:rPr>
        <w:t xml:space="preserve">1). </w:t>
      </w:r>
      <w:r>
        <w:rPr>
          <w:color w:val="0B0E10"/>
        </w:rPr>
        <w:t xml:space="preserve">Abweichungen </w:t>
      </w:r>
      <w:r>
        <w:rPr>
          <w:color w:val="0B0E10"/>
          <w:spacing w:val="-3"/>
        </w:rPr>
        <w:t xml:space="preserve">davon </w:t>
      </w:r>
      <w:r>
        <w:rPr>
          <w:color w:val="0B0E10"/>
        </w:rPr>
        <w:t xml:space="preserve">sind in Abs. 2 für die </w:t>
      </w:r>
      <w:r>
        <w:rPr>
          <w:color w:val="0B0E10"/>
          <w:spacing w:val="-3"/>
        </w:rPr>
        <w:t xml:space="preserve">«Vorstufen- </w:t>
      </w:r>
      <w:r>
        <w:rPr>
          <w:color w:val="0B0E10"/>
        </w:rPr>
        <w:t xml:space="preserve">und </w:t>
      </w:r>
      <w:r>
        <w:rPr>
          <w:color w:val="0B0E10"/>
        </w:rPr>
        <w:t xml:space="preserve">Primarlehrer- ausbildung» festgelegt. Eine Zulassung mit Berufsmaturität ohne Zusatzqualifikation, wie sie für den Bachelorstudiengang des EHB vorgesehen ist, sieht das </w:t>
      </w:r>
      <w:r>
        <w:rPr>
          <w:color w:val="0B0E10"/>
          <w:spacing w:val="-3"/>
        </w:rPr>
        <w:t xml:space="preserve">HFKG </w:t>
      </w:r>
      <w:r>
        <w:rPr>
          <w:color w:val="0B0E10"/>
        </w:rPr>
        <w:t xml:space="preserve">nicht </w:t>
      </w:r>
      <w:r>
        <w:rPr>
          <w:color w:val="0B0E10"/>
          <w:spacing w:val="-5"/>
        </w:rPr>
        <w:t xml:space="preserve">vor. </w:t>
      </w:r>
      <w:r>
        <w:rPr>
          <w:color w:val="0B0E10"/>
        </w:rPr>
        <w:t>Aus diesen Gründen ist das EHB als «andere eidgenössische Institution d</w:t>
      </w:r>
      <w:r>
        <w:rPr>
          <w:color w:val="0B0E10"/>
        </w:rPr>
        <w:t>es Hochschulbe- reichs» zu qualifizieren und zu verankern (Art. 2 Abs.</w:t>
      </w:r>
      <w:r>
        <w:rPr>
          <w:color w:val="0B0E10"/>
          <w:spacing w:val="-48"/>
        </w:rPr>
        <w:t xml:space="preserve"> </w:t>
      </w:r>
      <w:r>
        <w:rPr>
          <w:color w:val="0B0E10"/>
        </w:rPr>
        <w:t xml:space="preserve">3 </w:t>
      </w:r>
      <w:r>
        <w:rPr>
          <w:color w:val="0B0E10"/>
          <w:spacing w:val="-4"/>
        </w:rPr>
        <w:t xml:space="preserve">HFKG), </w:t>
      </w:r>
      <w:r>
        <w:rPr>
          <w:color w:val="0B0E10"/>
        </w:rPr>
        <w:t>was im Übrigen auch in dem in den Erläuterungen erwähnten Gutachten eine Stütze findet. Das EHB soll damit weiter- hin als Eidgenössisches Hochschulinstitut für Berufsbildung b</w:t>
      </w:r>
      <w:r>
        <w:rPr>
          <w:color w:val="0B0E10"/>
        </w:rPr>
        <w:t xml:space="preserve">ezeichnet werden. Mit der Verankerung als Hochschulinstitut gemäss </w:t>
      </w:r>
      <w:r>
        <w:rPr>
          <w:color w:val="0B0E10"/>
          <w:spacing w:val="-3"/>
        </w:rPr>
        <w:t xml:space="preserve">HFKG </w:t>
      </w:r>
      <w:r>
        <w:rPr>
          <w:color w:val="0B0E10"/>
        </w:rPr>
        <w:t xml:space="preserve">ist dem EHB im Übrigen ausdrücklich </w:t>
      </w:r>
      <w:r>
        <w:rPr>
          <w:color w:val="0B0E10"/>
          <w:spacing w:val="-6"/>
        </w:rPr>
        <w:t>Lehr-,</w:t>
      </w:r>
      <w:r>
        <w:rPr>
          <w:color w:val="0B0E10"/>
          <w:spacing w:val="-9"/>
        </w:rPr>
        <w:t xml:space="preserve"> </w:t>
      </w:r>
      <w:r>
        <w:rPr>
          <w:color w:val="0B0E10"/>
        </w:rPr>
        <w:t>Lern-</w:t>
      </w:r>
      <w:r>
        <w:rPr>
          <w:color w:val="0B0E10"/>
          <w:spacing w:val="-9"/>
        </w:rPr>
        <w:t xml:space="preserve"> </w:t>
      </w:r>
      <w:r>
        <w:rPr>
          <w:color w:val="0B0E10"/>
        </w:rPr>
        <w:t>und</w:t>
      </w:r>
      <w:r>
        <w:rPr>
          <w:color w:val="0B0E10"/>
          <w:spacing w:val="-9"/>
        </w:rPr>
        <w:t xml:space="preserve"> </w:t>
      </w:r>
      <w:r>
        <w:rPr>
          <w:color w:val="0B0E10"/>
          <w:spacing w:val="-3"/>
        </w:rPr>
        <w:t>Forschungsfreiheit</w:t>
      </w:r>
      <w:r>
        <w:rPr>
          <w:color w:val="0B0E10"/>
          <w:spacing w:val="-9"/>
        </w:rPr>
        <w:t xml:space="preserve"> </w:t>
      </w:r>
      <w:r>
        <w:rPr>
          <w:color w:val="0B0E10"/>
          <w:spacing w:val="-4"/>
        </w:rPr>
        <w:t>zuzugestehen.</w:t>
      </w:r>
      <w:r>
        <w:rPr>
          <w:color w:val="0B0E10"/>
          <w:spacing w:val="-9"/>
        </w:rPr>
        <w:t xml:space="preserve"> </w:t>
      </w:r>
      <w:r>
        <w:rPr>
          <w:color w:val="0B0E10"/>
        </w:rPr>
        <w:t>Diese</w:t>
      </w:r>
      <w:r>
        <w:rPr>
          <w:color w:val="0B0E10"/>
          <w:spacing w:val="-9"/>
        </w:rPr>
        <w:t xml:space="preserve"> </w:t>
      </w:r>
      <w:r>
        <w:rPr>
          <w:color w:val="0B0E10"/>
        </w:rPr>
        <w:t>kann</w:t>
      </w:r>
      <w:r>
        <w:rPr>
          <w:color w:val="0B0E10"/>
          <w:spacing w:val="-8"/>
        </w:rPr>
        <w:t xml:space="preserve"> </w:t>
      </w:r>
      <w:r>
        <w:rPr>
          <w:color w:val="0B0E10"/>
          <w:spacing w:val="-3"/>
        </w:rPr>
        <w:t>sich</w:t>
      </w:r>
      <w:r>
        <w:rPr>
          <w:color w:val="0B0E10"/>
          <w:spacing w:val="-9"/>
        </w:rPr>
        <w:t xml:space="preserve"> </w:t>
      </w:r>
      <w:r>
        <w:rPr>
          <w:color w:val="0B0E10"/>
        </w:rPr>
        <w:t>an</w:t>
      </w:r>
      <w:r>
        <w:rPr>
          <w:color w:val="0B0E10"/>
          <w:spacing w:val="-9"/>
        </w:rPr>
        <w:t xml:space="preserve"> </w:t>
      </w:r>
      <w:r>
        <w:rPr>
          <w:color w:val="0B0E10"/>
        </w:rPr>
        <w:t>Art.</w:t>
      </w:r>
      <w:r>
        <w:rPr>
          <w:color w:val="0B0E10"/>
          <w:spacing w:val="-31"/>
        </w:rPr>
        <w:t xml:space="preserve"> </w:t>
      </w:r>
      <w:r>
        <w:rPr>
          <w:color w:val="0B0E10"/>
        </w:rPr>
        <w:t>5</w:t>
      </w:r>
      <w:r>
        <w:rPr>
          <w:color w:val="0B0E10"/>
          <w:spacing w:val="-9"/>
        </w:rPr>
        <w:t xml:space="preserve"> </w:t>
      </w:r>
      <w:r>
        <w:rPr>
          <w:color w:val="0B0E10"/>
        </w:rPr>
        <w:t>Abs.</w:t>
      </w:r>
      <w:r>
        <w:rPr>
          <w:color w:val="0B0E10"/>
          <w:spacing w:val="-31"/>
        </w:rPr>
        <w:t xml:space="preserve"> </w:t>
      </w:r>
      <w:r>
        <w:rPr>
          <w:color w:val="0B0E10"/>
        </w:rPr>
        <w:t>3</w:t>
      </w:r>
      <w:r>
        <w:rPr>
          <w:color w:val="0B0E10"/>
          <w:spacing w:val="-9"/>
        </w:rPr>
        <w:t xml:space="preserve"> </w:t>
      </w:r>
      <w:r>
        <w:rPr>
          <w:color w:val="0B0E10"/>
        </w:rPr>
        <w:t>des</w:t>
      </w:r>
      <w:r>
        <w:rPr>
          <w:color w:val="0B0E10"/>
          <w:spacing w:val="-9"/>
        </w:rPr>
        <w:t xml:space="preserve"> </w:t>
      </w:r>
      <w:r>
        <w:rPr>
          <w:color w:val="0B0E10"/>
        </w:rPr>
        <w:t xml:space="preserve">ETH- Gesetzes vom 4. Oktober </w:t>
      </w:r>
      <w:r>
        <w:rPr>
          <w:color w:val="0B0E10"/>
          <w:spacing w:val="-5"/>
        </w:rPr>
        <w:t xml:space="preserve">1991 </w:t>
      </w:r>
      <w:r>
        <w:rPr>
          <w:color w:val="0B0E10"/>
        </w:rPr>
        <w:t xml:space="preserve">(SR </w:t>
      </w:r>
      <w:r>
        <w:rPr>
          <w:color w:val="0B0E10"/>
          <w:spacing w:val="-11"/>
        </w:rPr>
        <w:t xml:space="preserve">414.110) </w:t>
      </w:r>
      <w:r>
        <w:rPr>
          <w:color w:val="0B0E10"/>
        </w:rPr>
        <w:t xml:space="preserve">orientieren und ist in </w:t>
      </w:r>
      <w:r>
        <w:rPr>
          <w:color w:val="0B0E10"/>
          <w:spacing w:val="2"/>
        </w:rPr>
        <w:t xml:space="preserve">Art. </w:t>
      </w:r>
      <w:r>
        <w:rPr>
          <w:color w:val="0B0E10"/>
        </w:rPr>
        <w:t>1 des EHB-Gesetzes zu</w:t>
      </w:r>
      <w:r>
        <w:rPr>
          <w:color w:val="0B0E10"/>
          <w:spacing w:val="-1"/>
        </w:rPr>
        <w:t xml:space="preserve"> </w:t>
      </w:r>
      <w:r>
        <w:rPr>
          <w:color w:val="0B0E10"/>
        </w:rPr>
        <w:t>verankern.</w:t>
      </w:r>
    </w:p>
    <w:p w:rsidR="0013008D" w:rsidRDefault="00C02B60">
      <w:pPr>
        <w:pStyle w:val="Textkrper"/>
        <w:spacing w:before="3" w:line="244" w:lineRule="auto"/>
        <w:ind w:left="1524"/>
      </w:pPr>
      <w:r>
        <w:rPr>
          <w:color w:val="0B0E10"/>
        </w:rPr>
        <w:t>Das EHB-Gesetz sieht den Wegfall des Subsidiaritätsprinzips vor, was wir ebenfalls ableh- nen. Die im bisher noch geltenden Art. 48 Abs. 2 Bst. a des Berufsbildungsgesetzes vom</w:t>
      </w:r>
    </w:p>
    <w:p w:rsidR="0013008D" w:rsidRDefault="00C02B60">
      <w:pPr>
        <w:pStyle w:val="Textkrper"/>
        <w:spacing w:before="1" w:line="244" w:lineRule="auto"/>
        <w:ind w:left="1524" w:right="156"/>
      </w:pPr>
      <w:r>
        <w:rPr>
          <w:color w:val="0B0E10"/>
          <w:spacing w:val="-5"/>
        </w:rPr>
        <w:t xml:space="preserve">13. </w:t>
      </w:r>
      <w:r>
        <w:rPr>
          <w:color w:val="0B0E10"/>
        </w:rPr>
        <w:t xml:space="preserve">Dezember 2002 </w:t>
      </w:r>
      <w:r>
        <w:rPr>
          <w:color w:val="0B0E10"/>
        </w:rPr>
        <w:t xml:space="preserve">(SR </w:t>
      </w:r>
      <w:r>
        <w:rPr>
          <w:color w:val="0B0E10"/>
          <w:spacing w:val="-10"/>
        </w:rPr>
        <w:t xml:space="preserve">412.10) </w:t>
      </w:r>
      <w:r>
        <w:rPr>
          <w:color w:val="0B0E10"/>
        </w:rPr>
        <w:t xml:space="preserve">enthaltene Formulierung «soweit nicht die Kantone zustän- dig sind» soll ersatzlos aufgehoben werden. Das erachten wir als sehr problematisch. Ge- mäss Bildungsverfassung und </w:t>
      </w:r>
      <w:r>
        <w:rPr>
          <w:color w:val="0B0E10"/>
          <w:spacing w:val="-3"/>
        </w:rPr>
        <w:t xml:space="preserve">HFKG </w:t>
      </w:r>
      <w:r>
        <w:rPr>
          <w:color w:val="0B0E10"/>
        </w:rPr>
        <w:t>kommt im Hochschulbereich der Koordination eine zentrale Bedeutu</w:t>
      </w:r>
      <w:r>
        <w:rPr>
          <w:color w:val="0B0E10"/>
        </w:rPr>
        <w:t>ng zu. Das EHB-Gesetz soll deshalb keine Parallelstrukturen schaffen, zumal sich dies ungünstig auf die Berufsbildung als Gesamtsystem auswirkt. Wenn die Kantone</w:t>
      </w:r>
      <w:r>
        <w:rPr>
          <w:color w:val="0B0E10"/>
          <w:spacing w:val="-8"/>
        </w:rPr>
        <w:t xml:space="preserve"> </w:t>
      </w:r>
      <w:r>
        <w:rPr>
          <w:color w:val="0B0E10"/>
        </w:rPr>
        <w:t>über</w:t>
      </w:r>
      <w:r>
        <w:rPr>
          <w:color w:val="0B0E10"/>
          <w:spacing w:val="-8"/>
        </w:rPr>
        <w:t xml:space="preserve"> </w:t>
      </w:r>
      <w:r>
        <w:rPr>
          <w:color w:val="0B0E10"/>
        </w:rPr>
        <w:t>entsprechende</w:t>
      </w:r>
      <w:r>
        <w:rPr>
          <w:color w:val="0B0E10"/>
          <w:spacing w:val="-8"/>
        </w:rPr>
        <w:t xml:space="preserve"> </w:t>
      </w:r>
      <w:r>
        <w:rPr>
          <w:color w:val="0B0E10"/>
        </w:rPr>
        <w:t>Angebote</w:t>
      </w:r>
      <w:r>
        <w:rPr>
          <w:color w:val="0B0E10"/>
          <w:spacing w:val="-7"/>
        </w:rPr>
        <w:t xml:space="preserve"> </w:t>
      </w:r>
      <w:r>
        <w:rPr>
          <w:color w:val="0B0E10"/>
        </w:rPr>
        <w:t>verfügen,</w:t>
      </w:r>
      <w:r>
        <w:rPr>
          <w:color w:val="0B0E10"/>
          <w:spacing w:val="-8"/>
        </w:rPr>
        <w:t xml:space="preserve"> </w:t>
      </w:r>
      <w:r>
        <w:rPr>
          <w:color w:val="0B0E10"/>
        </w:rPr>
        <w:t>haben</w:t>
      </w:r>
      <w:r>
        <w:rPr>
          <w:color w:val="0B0E10"/>
          <w:spacing w:val="-8"/>
        </w:rPr>
        <w:t xml:space="preserve"> </w:t>
      </w:r>
      <w:r>
        <w:rPr>
          <w:color w:val="0B0E10"/>
        </w:rPr>
        <w:t>diese</w:t>
      </w:r>
      <w:r>
        <w:rPr>
          <w:color w:val="0B0E10"/>
          <w:spacing w:val="-8"/>
        </w:rPr>
        <w:t xml:space="preserve"> </w:t>
      </w:r>
      <w:r>
        <w:rPr>
          <w:color w:val="0B0E10"/>
        </w:rPr>
        <w:t>Vorrang.</w:t>
      </w:r>
      <w:r>
        <w:rPr>
          <w:color w:val="0B0E10"/>
          <w:spacing w:val="-7"/>
        </w:rPr>
        <w:t xml:space="preserve"> </w:t>
      </w:r>
      <w:r>
        <w:rPr>
          <w:color w:val="0B0E10"/>
        </w:rPr>
        <w:t>Nur</w:t>
      </w:r>
      <w:r>
        <w:rPr>
          <w:color w:val="0B0E10"/>
          <w:spacing w:val="-8"/>
        </w:rPr>
        <w:t xml:space="preserve"> </w:t>
      </w:r>
      <w:r>
        <w:rPr>
          <w:color w:val="0B0E10"/>
        </w:rPr>
        <w:t>dort,</w:t>
      </w:r>
      <w:r>
        <w:rPr>
          <w:color w:val="0B0E10"/>
          <w:spacing w:val="-8"/>
        </w:rPr>
        <w:t xml:space="preserve"> </w:t>
      </w:r>
      <w:r>
        <w:rPr>
          <w:color w:val="0B0E10"/>
        </w:rPr>
        <w:t>wo</w:t>
      </w:r>
      <w:r>
        <w:rPr>
          <w:color w:val="0B0E10"/>
          <w:spacing w:val="-7"/>
        </w:rPr>
        <w:t xml:space="preserve"> </w:t>
      </w:r>
      <w:r>
        <w:rPr>
          <w:color w:val="0B0E10"/>
        </w:rPr>
        <w:t>keine solchen Angebote vorhanden sind, namentlich in der französisch- und italienischsprachi- gen Schweiz, kann und soll das EHB tätig werden. Die Pädagogische Hochschule Zürich (PHZH) verfügt über ein umfassendes Ausbildungsangebot im Bereich der Berufsbi</w:t>
      </w:r>
      <w:r>
        <w:rPr>
          <w:color w:val="0B0E10"/>
        </w:rPr>
        <w:t>ldung. Sämtliche Studiengänge orientieren sich an den gesetzlichen Vorgaben und Standards des Bundes und sind vom Staatssekretariat für Bildung, Forschung und Innovation an- erkannt. Zudem verfügt die PHZH über vielfältige Angebote für Berufsfachschulen in</w:t>
      </w:r>
      <w:r>
        <w:rPr>
          <w:color w:val="0B0E10"/>
        </w:rPr>
        <w:t xml:space="preserve"> den Bereichen</w:t>
      </w:r>
      <w:r>
        <w:rPr>
          <w:color w:val="0B0E10"/>
          <w:spacing w:val="-10"/>
        </w:rPr>
        <w:t xml:space="preserve"> </w:t>
      </w:r>
      <w:r>
        <w:rPr>
          <w:color w:val="0B0E10"/>
        </w:rPr>
        <w:t>Forschung&amp;</w:t>
      </w:r>
      <w:r>
        <w:rPr>
          <w:color w:val="0B0E10"/>
          <w:spacing w:val="-38"/>
        </w:rPr>
        <w:t xml:space="preserve"> </w:t>
      </w:r>
      <w:r>
        <w:rPr>
          <w:color w:val="0B0E10"/>
        </w:rPr>
        <w:t>Entwicklung,</w:t>
      </w:r>
      <w:r>
        <w:rPr>
          <w:color w:val="0B0E10"/>
          <w:spacing w:val="-9"/>
        </w:rPr>
        <w:t xml:space="preserve"> </w:t>
      </w:r>
      <w:r>
        <w:rPr>
          <w:color w:val="0B0E10"/>
        </w:rPr>
        <w:t>Weiterbildung,</w:t>
      </w:r>
      <w:r>
        <w:rPr>
          <w:color w:val="0B0E10"/>
          <w:spacing w:val="-10"/>
        </w:rPr>
        <w:t xml:space="preserve"> </w:t>
      </w:r>
      <w:r>
        <w:rPr>
          <w:color w:val="0B0E10"/>
        </w:rPr>
        <w:t>Beratung</w:t>
      </w:r>
      <w:r>
        <w:rPr>
          <w:color w:val="0B0E10"/>
          <w:spacing w:val="-9"/>
        </w:rPr>
        <w:t xml:space="preserve"> </w:t>
      </w:r>
      <w:r>
        <w:rPr>
          <w:color w:val="0B0E10"/>
        </w:rPr>
        <w:t>und</w:t>
      </w:r>
      <w:r>
        <w:rPr>
          <w:color w:val="0B0E10"/>
          <w:spacing w:val="-10"/>
        </w:rPr>
        <w:t xml:space="preserve"> </w:t>
      </w:r>
      <w:r>
        <w:rPr>
          <w:color w:val="0B0E10"/>
        </w:rPr>
        <w:t>Schulentwicklung.</w:t>
      </w:r>
      <w:r>
        <w:rPr>
          <w:color w:val="0B0E10"/>
          <w:spacing w:val="-9"/>
        </w:rPr>
        <w:t xml:space="preserve"> </w:t>
      </w:r>
      <w:r>
        <w:rPr>
          <w:color w:val="0B0E10"/>
        </w:rPr>
        <w:t>Diese Angebote sollen durch das EHB nicht konkurrenziert werden.</w:t>
      </w:r>
    </w:p>
    <w:p w:rsidR="0013008D" w:rsidRDefault="0013008D">
      <w:pPr>
        <w:spacing w:line="244" w:lineRule="auto"/>
        <w:sectPr w:rsidR="0013008D">
          <w:headerReference w:type="default" r:id="rId8"/>
          <w:pgSz w:w="11910" w:h="16840"/>
          <w:pgMar w:top="1440" w:right="1300" w:bottom="280" w:left="460" w:header="1106" w:footer="0" w:gutter="0"/>
          <w:pgNumType w:start="2"/>
          <w:cols w:space="720"/>
        </w:sectPr>
      </w:pPr>
    </w:p>
    <w:p w:rsidR="0013008D" w:rsidRDefault="0013008D">
      <w:pPr>
        <w:pStyle w:val="Textkrper"/>
        <w:rPr>
          <w:sz w:val="20"/>
        </w:rPr>
      </w:pPr>
    </w:p>
    <w:p w:rsidR="0013008D" w:rsidRDefault="0013008D">
      <w:pPr>
        <w:pStyle w:val="Textkrper"/>
        <w:rPr>
          <w:sz w:val="20"/>
        </w:rPr>
      </w:pPr>
    </w:p>
    <w:p w:rsidR="0013008D" w:rsidRDefault="0013008D">
      <w:pPr>
        <w:pStyle w:val="Textkrper"/>
        <w:rPr>
          <w:sz w:val="20"/>
        </w:rPr>
      </w:pPr>
    </w:p>
    <w:p w:rsidR="0013008D" w:rsidRDefault="0013008D">
      <w:pPr>
        <w:pStyle w:val="Textkrper"/>
        <w:rPr>
          <w:sz w:val="20"/>
        </w:rPr>
      </w:pPr>
    </w:p>
    <w:p w:rsidR="0013008D" w:rsidRDefault="0013008D">
      <w:pPr>
        <w:pStyle w:val="Textkrper"/>
        <w:rPr>
          <w:sz w:val="20"/>
        </w:rPr>
      </w:pPr>
    </w:p>
    <w:p w:rsidR="0013008D" w:rsidRDefault="0013008D">
      <w:pPr>
        <w:pStyle w:val="Textkrper"/>
        <w:spacing w:before="3"/>
        <w:rPr>
          <w:sz w:val="25"/>
        </w:rPr>
      </w:pPr>
    </w:p>
    <w:p w:rsidR="0013008D" w:rsidRDefault="00C02B60">
      <w:pPr>
        <w:pStyle w:val="Textkrper"/>
        <w:spacing w:before="105" w:line="244" w:lineRule="auto"/>
        <w:ind w:left="1524"/>
      </w:pPr>
      <w:r>
        <w:rPr>
          <w:color w:val="0B0E10"/>
        </w:rPr>
        <w:t>Wir beantragen deshalb, dass das Subsidiaritätsprinzip auch im EHB-Gesetz ausdrücklich verankert wird. Art. 3 soll demnach wie folgt lauten:</w:t>
      </w:r>
    </w:p>
    <w:p w:rsidR="0013008D" w:rsidRDefault="00C02B60">
      <w:pPr>
        <w:pStyle w:val="Textkrper"/>
        <w:spacing w:before="110"/>
        <w:ind w:left="1524"/>
      </w:pPr>
      <w:r>
        <w:rPr>
          <w:color w:val="0B0E10"/>
        </w:rPr>
        <w:t>«</w:t>
      </w:r>
      <w:r>
        <w:rPr>
          <w:color w:val="0B0E10"/>
          <w:position w:val="7"/>
          <w:sz w:val="14"/>
        </w:rPr>
        <w:t xml:space="preserve">1 </w:t>
      </w:r>
      <w:r>
        <w:rPr>
          <w:color w:val="0B0E10"/>
        </w:rPr>
        <w:t>Die EHB bietet folgende Bildungsgänge an:</w:t>
      </w:r>
    </w:p>
    <w:p w:rsidR="0013008D" w:rsidRDefault="00C02B60">
      <w:pPr>
        <w:spacing w:before="119" w:line="244" w:lineRule="auto"/>
        <w:ind w:left="1751" w:hanging="227"/>
        <w:rPr>
          <w:i/>
          <w:sz w:val="21"/>
        </w:rPr>
      </w:pPr>
      <w:r>
        <w:rPr>
          <w:color w:val="0B0E10"/>
          <w:sz w:val="21"/>
        </w:rPr>
        <w:t xml:space="preserve">a. Aus- und Weiterbildungen für Lehrpersonen in der Berufsbildung, für Prüfungsexper- tinnen und -experten sowie für weitere Berufsbildungsverantwortliche, </w:t>
      </w:r>
      <w:r>
        <w:rPr>
          <w:i/>
          <w:color w:val="0B0E10"/>
          <w:sz w:val="21"/>
        </w:rPr>
        <w:t>soweit nicht die Kantone zuständig sind.</w:t>
      </w:r>
    </w:p>
    <w:p w:rsidR="0013008D" w:rsidRDefault="00C02B60">
      <w:pPr>
        <w:pStyle w:val="Textkrper"/>
        <w:spacing w:before="111"/>
        <w:ind w:left="1524"/>
      </w:pPr>
      <w:r>
        <w:rPr>
          <w:color w:val="0B0E10"/>
        </w:rPr>
        <w:t>b. (…).»</w:t>
      </w:r>
    </w:p>
    <w:p w:rsidR="0013008D" w:rsidRDefault="0013008D">
      <w:pPr>
        <w:pStyle w:val="Textkrper"/>
        <w:spacing w:before="4"/>
        <w:rPr>
          <w:sz w:val="22"/>
        </w:rPr>
      </w:pPr>
    </w:p>
    <w:p w:rsidR="0013008D" w:rsidRDefault="00C02B60">
      <w:pPr>
        <w:pStyle w:val="Textkrper"/>
        <w:ind w:left="1524"/>
      </w:pPr>
      <w:r>
        <w:rPr>
          <w:color w:val="0B0E10"/>
        </w:rPr>
        <w:t>Genehmigen Sie, sehr geehrter Herr Bundesrat,</w:t>
      </w:r>
    </w:p>
    <w:p w:rsidR="0013008D" w:rsidRDefault="00C02B60">
      <w:pPr>
        <w:pStyle w:val="Textkrper"/>
        <w:spacing w:before="5"/>
        <w:ind w:left="1524"/>
      </w:pPr>
      <w:r>
        <w:rPr>
          <w:color w:val="0B0E10"/>
        </w:rPr>
        <w:t>die Versicherung unserer ausgezeichneten Hochachtung.</w:t>
      </w:r>
    </w:p>
    <w:p w:rsidR="0013008D" w:rsidRDefault="0013008D">
      <w:pPr>
        <w:pStyle w:val="Textkrper"/>
        <w:rPr>
          <w:sz w:val="24"/>
        </w:rPr>
      </w:pPr>
    </w:p>
    <w:p w:rsidR="0013008D" w:rsidRDefault="0013008D">
      <w:pPr>
        <w:pStyle w:val="Textkrper"/>
        <w:spacing w:before="2"/>
        <w:rPr>
          <w:sz w:val="20"/>
        </w:rPr>
      </w:pPr>
    </w:p>
    <w:p w:rsidR="0013008D" w:rsidRDefault="00C02B60">
      <w:pPr>
        <w:pStyle w:val="Textkrper"/>
        <w:ind w:left="1524"/>
      </w:pPr>
      <w:r>
        <w:rPr>
          <w:color w:val="0B0E10"/>
        </w:rPr>
        <w:t>Im Namen des Regierungsrates</w:t>
      </w:r>
    </w:p>
    <w:p w:rsidR="0013008D" w:rsidRDefault="0013008D">
      <w:pPr>
        <w:pStyle w:val="Textkrper"/>
        <w:spacing w:before="10"/>
      </w:pPr>
    </w:p>
    <w:p w:rsidR="0013008D" w:rsidRDefault="00C02B60">
      <w:pPr>
        <w:pStyle w:val="Textkrper"/>
        <w:tabs>
          <w:tab w:val="left" w:pos="4358"/>
        </w:tabs>
        <w:spacing w:before="1"/>
        <w:ind w:left="1524"/>
      </w:pPr>
      <w:r>
        <w:rPr>
          <w:noProof/>
          <w:lang w:val="de-CH" w:eastAsia="de-CH" w:bidi="ar-SA"/>
        </w:rPr>
        <w:drawing>
          <wp:anchor distT="0" distB="0" distL="0" distR="0" simplePos="0" relativeHeight="1072" behindDoc="0" locked="0" layoutInCell="1" allowOverlap="1">
            <wp:simplePos x="0" y="0"/>
            <wp:positionH relativeFrom="page">
              <wp:posOffset>4854285</wp:posOffset>
            </wp:positionH>
            <wp:positionV relativeFrom="paragraph">
              <wp:posOffset>-55116</wp:posOffset>
            </wp:positionV>
            <wp:extent cx="1436799" cy="1411884"/>
            <wp:effectExtent l="0" t="0" r="0" b="0"/>
            <wp:wrapNone/>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9" cstate="print"/>
                    <a:stretch>
                      <a:fillRect/>
                    </a:stretch>
                  </pic:blipFill>
                  <pic:spPr>
                    <a:xfrm>
                      <a:off x="0" y="0"/>
                      <a:ext cx="1436799" cy="1411884"/>
                    </a:xfrm>
                    <a:prstGeom prst="rect">
                      <a:avLst/>
                    </a:prstGeom>
                  </pic:spPr>
                </pic:pic>
              </a:graphicData>
            </a:graphic>
          </wp:anchor>
        </w:drawing>
      </w:r>
      <w:r>
        <w:rPr>
          <w:color w:val="0B0E10"/>
        </w:rPr>
        <w:t>Der Präsident:</w:t>
      </w:r>
      <w:r>
        <w:rPr>
          <w:color w:val="0B0E10"/>
        </w:rPr>
        <w:tab/>
        <w:t>Die Staatsschreiberin:</w:t>
      </w:r>
    </w:p>
    <w:p w:rsidR="0013008D" w:rsidRDefault="0013008D">
      <w:pPr>
        <w:pStyle w:val="Textkrper"/>
        <w:rPr>
          <w:sz w:val="24"/>
        </w:rPr>
      </w:pPr>
    </w:p>
    <w:p w:rsidR="0013008D" w:rsidRDefault="0013008D">
      <w:pPr>
        <w:pStyle w:val="Textkrper"/>
        <w:rPr>
          <w:sz w:val="24"/>
        </w:rPr>
      </w:pPr>
    </w:p>
    <w:p w:rsidR="0013008D" w:rsidRDefault="0013008D">
      <w:pPr>
        <w:pStyle w:val="Textkrper"/>
        <w:rPr>
          <w:sz w:val="24"/>
        </w:rPr>
      </w:pPr>
    </w:p>
    <w:p w:rsidR="0013008D" w:rsidRDefault="0013008D">
      <w:pPr>
        <w:pStyle w:val="Textkrper"/>
        <w:rPr>
          <w:sz w:val="24"/>
        </w:rPr>
      </w:pPr>
    </w:p>
    <w:p w:rsidR="0013008D" w:rsidRDefault="0013008D">
      <w:pPr>
        <w:pStyle w:val="Textkrper"/>
        <w:spacing w:before="8"/>
        <w:rPr>
          <w:sz w:val="35"/>
        </w:rPr>
      </w:pPr>
    </w:p>
    <w:p w:rsidR="0013008D" w:rsidRDefault="00C02B60">
      <w:pPr>
        <w:pStyle w:val="Textkrper"/>
        <w:tabs>
          <w:tab w:val="left" w:pos="4358"/>
        </w:tabs>
        <w:ind w:left="1524"/>
      </w:pPr>
      <w:r>
        <w:rPr>
          <w:color w:val="0B0E10"/>
          <w:spacing w:val="-4"/>
        </w:rPr>
        <w:t>Dr.</w:t>
      </w:r>
      <w:r>
        <w:rPr>
          <w:color w:val="0B0E10"/>
        </w:rPr>
        <w:t xml:space="preserve"> Thomas</w:t>
      </w:r>
      <w:r>
        <w:rPr>
          <w:color w:val="0B0E10"/>
          <w:spacing w:val="1"/>
        </w:rPr>
        <w:t xml:space="preserve"> </w:t>
      </w:r>
      <w:r>
        <w:rPr>
          <w:color w:val="0B0E10"/>
        </w:rPr>
        <w:t>Heiniger</w:t>
      </w:r>
      <w:r>
        <w:rPr>
          <w:color w:val="0B0E10"/>
        </w:rPr>
        <w:tab/>
      </w:r>
      <w:r>
        <w:rPr>
          <w:color w:val="0B0E10"/>
          <w:spacing w:val="-4"/>
        </w:rPr>
        <w:t xml:space="preserve">Dr. </w:t>
      </w:r>
      <w:r>
        <w:rPr>
          <w:color w:val="0B0E10"/>
        </w:rPr>
        <w:t>Kathrin</w:t>
      </w:r>
      <w:r>
        <w:rPr>
          <w:color w:val="0B0E10"/>
          <w:spacing w:val="5"/>
        </w:rPr>
        <w:t xml:space="preserve"> </w:t>
      </w:r>
      <w:r>
        <w:rPr>
          <w:color w:val="0B0E10"/>
        </w:rPr>
        <w:t>Arioli</w:t>
      </w:r>
    </w:p>
    <w:sectPr w:rsidR="0013008D">
      <w:pgSz w:w="11910" w:h="16840"/>
      <w:pgMar w:top="1440" w:right="1300" w:bottom="280" w:left="460" w:header="110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02B60">
      <w:r>
        <w:separator/>
      </w:r>
    </w:p>
  </w:endnote>
  <w:endnote w:type="continuationSeparator" w:id="0">
    <w:p w:rsidR="00000000" w:rsidRDefault="00C02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Pro 55 Roman">
    <w:altName w:val="Arial"/>
    <w:charset w:val="00"/>
    <w:family w:val="swiss"/>
    <w:pitch w:val="variable"/>
  </w:font>
  <w:font w:name="HelveticaNeueLT Pro 95 Blk">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02B60">
      <w:r>
        <w:separator/>
      </w:r>
    </w:p>
  </w:footnote>
  <w:footnote w:type="continuationSeparator" w:id="0">
    <w:p w:rsidR="00000000" w:rsidRDefault="00C02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08D" w:rsidRDefault="00C02B60">
    <w:pPr>
      <w:pStyle w:val="Textkrper"/>
      <w:spacing w:line="14" w:lineRule="auto"/>
      <w:rPr>
        <w:sz w:val="20"/>
      </w:rPr>
    </w:pPr>
    <w:r>
      <w:rPr>
        <w:noProof/>
        <w:lang w:val="de-CH" w:eastAsia="de-CH" w:bidi="ar-SA"/>
      </w:rPr>
      <w:drawing>
        <wp:anchor distT="0" distB="0" distL="0" distR="0" simplePos="0" relativeHeight="251657216" behindDoc="1" locked="0" layoutInCell="1" allowOverlap="1">
          <wp:simplePos x="0" y="0"/>
          <wp:positionH relativeFrom="page">
            <wp:posOffset>4913998</wp:posOffset>
          </wp:positionH>
          <wp:positionV relativeFrom="page">
            <wp:posOffset>702183</wp:posOffset>
          </wp:positionV>
          <wp:extent cx="216001" cy="215900"/>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 cstate="print"/>
                  <a:stretch>
                    <a:fillRect/>
                  </a:stretch>
                </pic:blipFill>
                <pic:spPr>
                  <a:xfrm>
                    <a:off x="0" y="0"/>
                    <a:ext cx="216001" cy="215900"/>
                  </a:xfrm>
                  <a:prstGeom prst="rect">
                    <a:avLst/>
                  </a:prstGeom>
                </pic:spPr>
              </pic:pic>
            </a:graphicData>
          </a:graphic>
        </wp:anchor>
      </w:drawing>
    </w:r>
    <w:r>
      <w:rPr>
        <w:noProof/>
        <w:lang w:val="de-CH" w:eastAsia="de-CH" w:bidi="ar-SA"/>
      </w:rPr>
      <mc:AlternateContent>
        <mc:Choice Requires="wps">
          <w:drawing>
            <wp:anchor distT="0" distB="0" distL="114300" distR="114300" simplePos="0" relativeHeight="251658240" behindDoc="1" locked="0" layoutInCell="1" allowOverlap="1">
              <wp:simplePos x="0" y="0"/>
              <wp:positionH relativeFrom="page">
                <wp:posOffset>5195570</wp:posOffset>
              </wp:positionH>
              <wp:positionV relativeFrom="page">
                <wp:posOffset>735965</wp:posOffset>
              </wp:positionV>
              <wp:extent cx="107315" cy="146050"/>
              <wp:effectExtent l="4445" t="2540" r="2540"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008D" w:rsidRDefault="00C02B60">
                          <w:pPr>
                            <w:spacing w:before="23"/>
                            <w:ind w:left="40"/>
                            <w:rPr>
                              <w:sz w:val="16"/>
                            </w:rPr>
                          </w:pPr>
                          <w:r>
                            <w:fldChar w:fldCharType="begin"/>
                          </w:r>
                          <w:r>
                            <w:rPr>
                              <w:color w:val="0B0E10"/>
                              <w:sz w:val="16"/>
                            </w:rPr>
                            <w:instrText xml:space="preserve"> PAGE </w:instrText>
                          </w:r>
                          <w:r>
                            <w:fldChar w:fldCharType="separate"/>
                          </w:r>
                          <w:r>
                            <w:rPr>
                              <w:noProof/>
                              <w:color w:val="0B0E10"/>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09.1pt;margin-top:57.95pt;width:8.45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" filled="f" stroked="f">
              <v:textbox inset="0,0,0,0">
                <w:txbxContent>
                  <w:p w:rsidR="0013008D" w:rsidRDefault="00C02B60">
                    <w:pPr>
                      <w:spacing w:before="23"/>
                      <w:ind w:left="40"/>
                      <w:rPr>
                        <w:sz w:val="16"/>
                      </w:rPr>
                    </w:pPr>
                    <w:r>
                      <w:fldChar w:fldCharType="begin"/>
                    </w:r>
                    <w:r>
                      <w:rPr>
                        <w:color w:val="0B0E10"/>
                        <w:sz w:val="16"/>
                      </w:rPr>
                      <w:instrText xml:space="preserve"> PAGE </w:instrText>
                    </w:r>
                    <w:r>
                      <w:fldChar w:fldCharType="separate"/>
                    </w:r>
                    <w:r>
                      <w:rPr>
                        <w:noProof/>
                        <w:color w:val="0B0E10"/>
                        <w:sz w:val="16"/>
                      </w:rPr>
                      <w:t>2</w:t>
                    </w:r>
                    <w: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08D"/>
    <w:rsid w:val="0013008D"/>
    <w:rsid w:val="00C02B6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DA2A0933-BFE9-4D11-9CD3-CCD03431F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HelveticaNeueLT Pro 55 Roman" w:eastAsia="HelveticaNeueLT Pro 55 Roman" w:hAnsi="HelveticaNeueLT Pro 55 Roman" w:cs="HelveticaNeueLT Pro 55 Roman"/>
      <w:lang w:val="de-DE"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1"/>
      <w:szCs w:val="21"/>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785</Words>
  <Characters>4947</Characters>
  <Application>Microsoft Office Word</Application>
  <DocSecurity>4</DocSecurity>
  <Lines>41</Lines>
  <Paragraphs>11</Paragraphs>
  <ScaleCrop>false</ScaleCrop>
  <Company>Bundesverwaltung</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RRB-2019-0264-Missiv.indd</dc:title>
  <dc:creator>Baumann Christina SBFI</dc:creator>
  <cp:lastModifiedBy>Baumann Christina SBFI</cp:lastModifiedBy>
  <cp:revision>2</cp:revision>
  <dcterms:created xsi:type="dcterms:W3CDTF">2019-03-26T16:05:00Z</dcterms:created>
  <dcterms:modified xsi:type="dcterms:W3CDTF">2019-03-26T16:05:00Z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2019-03-21T00:00:00Z</vt:filetime>
  </property>
  <property fmtid="{D5CDD505-2E9C-101B-9397-08002B2CF9AE}" pid="3" name="Creator">
    <vt:lpwstr>Adobe InDesign CC 13.1 (Windows)</vt:lpwstr>
  </property>
  <property fmtid="{D5CDD505-2E9C-101B-9397-08002B2CF9AE}" pid="4" name="LastSaved">
    <vt:filetime>2019-03-26T00:00:00Z</vt:filetime>
  </property>
</Properties>
</file>