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before="7200"/>
        <w:ind w:left="391" w:hanging="391"/>
        <w:rPr>
          <w:b/>
          <w:sz w:val="40"/>
          <w:szCs w:val="40"/>
        </w:rPr>
      </w:pPr>
      <w:bookmarkStart w:id="0" w:name="_Toc292892510"/>
      <w:r>
        <w:rPr>
          <w:b/>
          <w:noProof/>
          <w:sz w:val="22"/>
          <w:szCs w:val="22"/>
        </w:rPr>
        <mc:AlternateContent>
          <mc:Choice Requires="wps">
            <w:drawing>
              <wp:anchor distT="0" distB="0" distL="114300" distR="114300" simplePos="0" relativeHeight="251642368" behindDoc="0" locked="0" layoutInCell="1" allowOverlap="1">
                <wp:simplePos x="0" y="0"/>
                <wp:positionH relativeFrom="column">
                  <wp:posOffset>-1905</wp:posOffset>
                </wp:positionH>
                <wp:positionV relativeFrom="paragraph">
                  <wp:posOffset>169545</wp:posOffset>
                </wp:positionV>
                <wp:extent cx="5760000" cy="4320000"/>
                <wp:effectExtent l="0" t="0" r="12700" b="23495"/>
                <wp:wrapNone/>
                <wp:docPr id="8"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4320000"/>
                        </a:xfrm>
                        <a:prstGeom prst="rect">
                          <a:avLst/>
                        </a:prstGeom>
                        <a:solidFill>
                          <a:srgbClr val="FFFFFF"/>
                        </a:solidFill>
                        <a:ln w="9525">
                          <a:solidFill>
                            <a:srgbClr val="000000"/>
                          </a:solidFill>
                          <a:miter lim="800000"/>
                          <a:headEnd/>
                          <a:tailEnd/>
                        </a:ln>
                      </wps:spPr>
                      <wps:txbx>
                        <w:txbxContent>
                          <w:p>
                            <w:r>
                              <w:t xml:space="preserve">LOGO </w:t>
                            </w:r>
                          </w:p>
                          <w:p>
                            <w:r>
                              <w:t>Organisation der Arbeitswelt (</w:t>
                            </w:r>
                            <w:proofErr w:type="spellStart"/>
                            <w:r>
                              <w:t>OdA</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2" o:spid="_x0000_s1026" style="position:absolute;left:0;text-align:left;margin-left:-.15pt;margin-top:13.35pt;width:453.55pt;height:340.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">
                <v:textbox>
                  <w:txbxContent>
                    <w:p>
                      <w:r>
                        <w:t xml:space="preserve">LOGO </w:t>
                      </w:r>
                    </w:p>
                    <w:p>
                      <w:r>
                        <w:t>Organisation der Arbeitswelt (</w:t>
                      </w:r>
                      <w:proofErr w:type="spellStart"/>
                      <w:r>
                        <w:t>OdA</w:t>
                      </w:r>
                      <w:proofErr w:type="spellEnd"/>
                      <w:r>
                        <w:t>)</w:t>
                      </w:r>
                    </w:p>
                  </w:txbxContent>
                </v:textbox>
              </v:rect>
            </w:pict>
          </mc:Fallback>
        </mc:AlternateContent>
      </w:r>
      <w:r>
        <w:rPr>
          <w:b/>
          <w:sz w:val="40"/>
          <w:szCs w:val="40"/>
        </w:rPr>
        <w:t>Bildungsplan</w:t>
      </w:r>
    </w:p>
    <w:p>
      <w:pPr>
        <w:spacing w:before="480"/>
      </w:pPr>
      <w:r>
        <w:t xml:space="preserve">zur Verordnung des SBFI vom </w:t>
      </w:r>
      <w:r>
        <w:rPr>
          <w:color w:val="FF0000"/>
        </w:rPr>
        <w:t xml:space="preserve">[Erlassdatum der </w:t>
      </w:r>
      <w:proofErr w:type="spellStart"/>
      <w:r>
        <w:rPr>
          <w:color w:val="FF0000"/>
        </w:rPr>
        <w:t>BiVo</w:t>
      </w:r>
      <w:proofErr w:type="spellEnd"/>
      <w:r>
        <w:rPr>
          <w:color w:val="FF0000"/>
        </w:rPr>
        <w:t xml:space="preserve"> neu]</w:t>
      </w:r>
      <w:r>
        <w:t xml:space="preserve"> über die berufliche Grundbildung für</w:t>
      </w:r>
    </w:p>
    <w:p>
      <w:pPr>
        <w:spacing w:before="720"/>
        <w:rPr>
          <w:b/>
          <w:color w:val="FF0000"/>
          <w:sz w:val="36"/>
          <w:szCs w:val="36"/>
        </w:rPr>
      </w:pPr>
      <w:r>
        <w:rPr>
          <w:b/>
          <w:color w:val="FF0000"/>
          <w:sz w:val="36"/>
          <w:szCs w:val="36"/>
        </w:rPr>
        <w:t>[Titel w / Titel m]</w:t>
      </w:r>
    </w:p>
    <w:p>
      <w:pPr>
        <w:spacing w:before="600"/>
        <w:rPr>
          <w:color w:val="FF0000"/>
        </w:rPr>
      </w:pPr>
      <w:r>
        <w:t xml:space="preserve">vom </w:t>
      </w:r>
      <w:r>
        <w:rPr>
          <w:color w:val="FF0000"/>
        </w:rPr>
        <w:t xml:space="preserve">[Erstell - bzw. Unterschriftsdatum </w:t>
      </w:r>
      <w:proofErr w:type="spellStart"/>
      <w:r>
        <w:rPr>
          <w:color w:val="FF0000"/>
        </w:rPr>
        <w:t>OdA</w:t>
      </w:r>
      <w:proofErr w:type="spellEnd"/>
      <w:r>
        <w:rPr>
          <w:color w:val="FF0000"/>
        </w:rPr>
        <w:t xml:space="preserve"> Bildungsplan, vgl. S. 10 dieses Dokuments] </w:t>
      </w:r>
    </w:p>
    <w:p>
      <w:r>
        <w:rPr>
          <w:color w:val="548DD4"/>
        </w:rPr>
        <w:t xml:space="preserve">bei Teilrevisionen </w:t>
      </w:r>
      <w:proofErr w:type="spellStart"/>
      <w:r>
        <w:rPr>
          <w:color w:val="548DD4"/>
        </w:rPr>
        <w:t>BiPla</w:t>
      </w:r>
      <w:proofErr w:type="spellEnd"/>
      <w:r>
        <w:t xml:space="preserve"> (Stand am…) </w:t>
      </w:r>
      <w:r>
        <w:rPr>
          <w:color w:val="548DD4"/>
        </w:rPr>
        <w:t xml:space="preserve">Erstell- bzw. Unterschriftsdatum </w:t>
      </w:r>
      <w:proofErr w:type="spellStart"/>
      <w:r>
        <w:rPr>
          <w:color w:val="548DD4"/>
        </w:rPr>
        <w:t>OdA</w:t>
      </w:r>
      <w:proofErr w:type="spellEnd"/>
      <w:r>
        <w:rPr>
          <w:color w:val="548DD4"/>
        </w:rPr>
        <w:t xml:space="preserve"> Änderungsblatt</w:t>
      </w:r>
    </w:p>
    <w:p>
      <w:pPr>
        <w:spacing w:before="480" w:after="800"/>
        <w:ind w:left="391" w:hanging="391"/>
        <w:rPr>
          <w:b/>
        </w:rPr>
      </w:pPr>
      <w:r>
        <w:rPr>
          <w:b/>
        </w:rPr>
        <w:t xml:space="preserve">Berufsnummer </w:t>
      </w:r>
      <w:r>
        <w:rPr>
          <w:b/>
          <w:color w:val="FF0000"/>
        </w:rPr>
        <w:t>[Zahl]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545"/>
      </w:tblGrid>
      <w:tr>
        <w:tc>
          <w:tcPr>
            <w:tcW w:w="9545" w:type="dxa"/>
            <w:shd w:val="clear" w:color="auto" w:fill="D9D9D9"/>
          </w:tcPr>
          <w:p>
            <w:pPr>
              <w:spacing w:before="120"/>
              <w:rPr>
                <w:rFonts w:cs="Arial"/>
                <w:b/>
                <w:color w:val="4F81BD"/>
                <w:sz w:val="18"/>
                <w:szCs w:val="18"/>
              </w:rPr>
            </w:pPr>
            <w:r>
              <w:rPr>
                <w:b/>
                <w:color w:val="4F81BD"/>
                <w:sz w:val="22"/>
                <w:szCs w:val="22"/>
              </w:rPr>
              <w:t>Die Leitvorlage dient als Arbeits- und Orientierungshilfe bei der Erarbeitung von Bildungsplänen nach dem Leittext Bildungsverordnung (</w:t>
            </w:r>
            <w:proofErr w:type="spellStart"/>
            <w:r>
              <w:rPr>
                <w:b/>
                <w:color w:val="4F81BD"/>
                <w:sz w:val="22"/>
                <w:szCs w:val="22"/>
              </w:rPr>
              <w:t>BiVo</w:t>
            </w:r>
            <w:proofErr w:type="spellEnd"/>
            <w:r>
              <w:rPr>
                <w:b/>
                <w:color w:val="4F81BD"/>
                <w:sz w:val="22"/>
                <w:szCs w:val="22"/>
              </w:rPr>
              <w:t>) vom 31.08.2012 (Stand am 31.01.2018).</w:t>
            </w:r>
          </w:p>
        </w:tc>
      </w:tr>
    </w:tbl>
    <w:p>
      <w:pPr>
        <w:spacing w:before="360"/>
        <w:ind w:left="391" w:hanging="391"/>
        <w:rPr>
          <w:b/>
          <w:color w:val="FF0000"/>
          <w:sz w:val="24"/>
          <w:szCs w:val="24"/>
        </w:rPr>
      </w:pPr>
      <w:r>
        <w:rPr>
          <w:b/>
          <w:color w:val="4F81BD"/>
          <w:sz w:val="24"/>
          <w:szCs w:val="24"/>
        </w:rPr>
        <w:t xml:space="preserve">Leitvorlage vom </w:t>
      </w:r>
      <w:r>
        <w:rPr>
          <w:b/>
          <w:color w:val="FF0000"/>
          <w:sz w:val="24"/>
          <w:szCs w:val="24"/>
        </w:rPr>
        <w:t>31.08.2012 (Stand am 31.03.2022)</w:t>
      </w:r>
    </w:p>
    <w:p>
      <w:pPr>
        <w:spacing w:before="360"/>
        <w:ind w:left="391" w:hanging="391"/>
        <w:rPr>
          <w:b/>
          <w:sz w:val="24"/>
          <w:szCs w:val="24"/>
        </w:rPr>
      </w:pPr>
    </w:p>
    <w:p>
      <w:pPr>
        <w:spacing w:before="360"/>
        <w:ind w:left="391" w:hanging="391"/>
        <w:rPr>
          <w:b/>
          <w:bCs/>
          <w:sz w:val="30"/>
          <w:szCs w:val="28"/>
        </w:rPr>
        <w:sectPr>
          <w:headerReference w:type="default" r:id="rId8"/>
          <w:footerReference w:type="default" r:id="rId9"/>
          <w:footerReference w:type="first" r:id="rId10"/>
          <w:type w:val="continuous"/>
          <w:pgSz w:w="11907" w:h="16839" w:code="9"/>
          <w:pgMar w:top="1106" w:right="1134" w:bottom="851" w:left="1191" w:header="567" w:footer="346" w:gutter="0"/>
          <w:cols w:space="708"/>
          <w:titlePg/>
          <w:docGrid w:linePitch="360"/>
        </w:sectPr>
      </w:pPr>
    </w:p>
    <w:p>
      <w:pPr>
        <w:spacing w:before="360"/>
        <w:ind w:left="391" w:hanging="391"/>
        <w:rPr>
          <w:b/>
          <w:bCs/>
          <w:sz w:val="30"/>
          <w:szCs w:val="28"/>
        </w:rPr>
      </w:pPr>
      <w:r>
        <w:rPr>
          <w:b/>
          <w:bCs/>
          <w:sz w:val="30"/>
          <w:szCs w:val="28"/>
        </w:rPr>
        <w:lastRenderedPageBreak/>
        <w:t>Inhaltsverzeichnis</w:t>
      </w:r>
    </w:p>
    <w:p>
      <w:pPr>
        <w:pStyle w:val="Verzeichnis1"/>
        <w:tabs>
          <w:tab w:val="left" w:pos="440"/>
          <w:tab w:val="right" w:leader="dot" w:pos="9574"/>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43691009" w:history="1">
        <w:r>
          <w:rPr>
            <w:rStyle w:val="Hyperlink"/>
            <w:noProof/>
          </w:rPr>
          <w:t>1.</w:t>
        </w:r>
        <w:r>
          <w:rPr>
            <w:rFonts w:asciiTheme="minorHAnsi" w:eastAsiaTheme="minorEastAsia" w:hAnsiTheme="minorHAnsi" w:cstheme="minorBidi"/>
            <w:b w:val="0"/>
            <w:noProof/>
            <w:sz w:val="22"/>
            <w:szCs w:val="22"/>
          </w:rPr>
          <w:tab/>
        </w:r>
        <w:r>
          <w:rPr>
            <w:rStyle w:val="Hyperlink"/>
            <w:noProof/>
          </w:rPr>
          <w:t>Einleitung</w:t>
        </w:r>
        <w:r>
          <w:rPr>
            <w:noProof/>
            <w:webHidden/>
          </w:rPr>
          <w:tab/>
        </w:r>
        <w:r>
          <w:rPr>
            <w:noProof/>
            <w:webHidden/>
          </w:rPr>
          <w:fldChar w:fldCharType="begin"/>
        </w:r>
        <w:r>
          <w:rPr>
            <w:noProof/>
            <w:webHidden/>
          </w:rPr>
          <w:instrText xml:space="preserve"> PAGEREF _Toc143691009 \h </w:instrText>
        </w:r>
        <w:r>
          <w:rPr>
            <w:noProof/>
            <w:webHidden/>
          </w:rPr>
        </w:r>
        <w:r>
          <w:rPr>
            <w:noProof/>
            <w:webHidden/>
          </w:rPr>
          <w:fldChar w:fldCharType="separate"/>
        </w:r>
        <w:r>
          <w:rPr>
            <w:noProof/>
            <w:webHidden/>
          </w:rPr>
          <w:t>3</w:t>
        </w:r>
        <w:r>
          <w:rPr>
            <w:noProof/>
            <w:webHidden/>
          </w:rPr>
          <w:fldChar w:fldCharType="end"/>
        </w:r>
      </w:hyperlink>
    </w:p>
    <w:p>
      <w:pPr>
        <w:pStyle w:val="Verzeichnis1"/>
        <w:tabs>
          <w:tab w:val="left" w:pos="440"/>
          <w:tab w:val="right" w:leader="dot" w:pos="9574"/>
        </w:tabs>
        <w:rPr>
          <w:rFonts w:asciiTheme="minorHAnsi" w:eastAsiaTheme="minorEastAsia" w:hAnsiTheme="minorHAnsi" w:cstheme="minorBidi"/>
          <w:b w:val="0"/>
          <w:noProof/>
          <w:sz w:val="22"/>
          <w:szCs w:val="22"/>
        </w:rPr>
      </w:pPr>
      <w:hyperlink w:anchor="_Toc143691010" w:history="1">
        <w:r>
          <w:rPr>
            <w:rStyle w:val="Hyperlink"/>
            <w:noProof/>
          </w:rPr>
          <w:t>2.</w:t>
        </w:r>
        <w:r>
          <w:rPr>
            <w:rFonts w:asciiTheme="minorHAnsi" w:eastAsiaTheme="minorEastAsia" w:hAnsiTheme="minorHAnsi" w:cstheme="minorBidi"/>
            <w:b w:val="0"/>
            <w:noProof/>
            <w:sz w:val="22"/>
            <w:szCs w:val="22"/>
          </w:rPr>
          <w:tab/>
        </w:r>
        <w:r>
          <w:rPr>
            <w:rStyle w:val="Hyperlink"/>
            <w:noProof/>
          </w:rPr>
          <w:t>Berufspädagogische Grundlagen</w:t>
        </w:r>
        <w:r>
          <w:rPr>
            <w:noProof/>
            <w:webHidden/>
          </w:rPr>
          <w:tab/>
        </w:r>
        <w:r>
          <w:rPr>
            <w:noProof/>
            <w:webHidden/>
          </w:rPr>
          <w:fldChar w:fldCharType="begin"/>
        </w:r>
        <w:r>
          <w:rPr>
            <w:noProof/>
            <w:webHidden/>
          </w:rPr>
          <w:instrText xml:space="preserve"> PAGEREF _Toc143691010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574"/>
        </w:tabs>
        <w:rPr>
          <w:rFonts w:asciiTheme="minorHAnsi" w:eastAsiaTheme="minorEastAsia" w:hAnsiTheme="minorHAnsi" w:cstheme="minorBidi"/>
          <w:noProof/>
          <w:sz w:val="22"/>
          <w:szCs w:val="22"/>
        </w:rPr>
      </w:pPr>
      <w:hyperlink w:anchor="_Toc143691011" w:history="1">
        <w:r>
          <w:rPr>
            <w:rStyle w:val="Hyperlink"/>
            <w:noProof/>
          </w:rPr>
          <w:t>2.1.</w:t>
        </w:r>
        <w:r>
          <w:rPr>
            <w:rFonts w:asciiTheme="minorHAnsi" w:eastAsiaTheme="minorEastAsia" w:hAnsiTheme="minorHAnsi" w:cstheme="minorBidi"/>
            <w:noProof/>
            <w:sz w:val="22"/>
            <w:szCs w:val="22"/>
          </w:rPr>
          <w:tab/>
        </w:r>
        <w:r>
          <w:rPr>
            <w:rStyle w:val="Hyperlink"/>
            <w:noProof/>
          </w:rPr>
          <w:t>Einführung in die Handlungskompetenzorientierung</w:t>
        </w:r>
        <w:r>
          <w:rPr>
            <w:noProof/>
            <w:webHidden/>
          </w:rPr>
          <w:tab/>
        </w:r>
        <w:r>
          <w:rPr>
            <w:noProof/>
            <w:webHidden/>
          </w:rPr>
          <w:fldChar w:fldCharType="begin"/>
        </w:r>
        <w:r>
          <w:rPr>
            <w:noProof/>
            <w:webHidden/>
          </w:rPr>
          <w:instrText xml:space="preserve"> PAGEREF _Toc143691011 \h </w:instrText>
        </w:r>
        <w:r>
          <w:rPr>
            <w:noProof/>
            <w:webHidden/>
          </w:rPr>
        </w:r>
        <w:r>
          <w:rPr>
            <w:noProof/>
            <w:webHidden/>
          </w:rPr>
          <w:fldChar w:fldCharType="separate"/>
        </w:r>
        <w:r>
          <w:rPr>
            <w:noProof/>
            <w:webHidden/>
          </w:rPr>
          <w:t>4</w:t>
        </w:r>
        <w:r>
          <w:rPr>
            <w:noProof/>
            <w:webHidden/>
          </w:rPr>
          <w:fldChar w:fldCharType="end"/>
        </w:r>
      </w:hyperlink>
    </w:p>
    <w:p>
      <w:pPr>
        <w:pStyle w:val="Verzeichnis2"/>
        <w:tabs>
          <w:tab w:val="left" w:pos="880"/>
          <w:tab w:val="right" w:leader="dot" w:pos="9574"/>
        </w:tabs>
        <w:rPr>
          <w:rFonts w:asciiTheme="minorHAnsi" w:eastAsiaTheme="minorEastAsia" w:hAnsiTheme="minorHAnsi" w:cstheme="minorBidi"/>
          <w:noProof/>
          <w:sz w:val="22"/>
          <w:szCs w:val="22"/>
        </w:rPr>
      </w:pPr>
      <w:hyperlink w:anchor="_Toc143691012" w:history="1">
        <w:r>
          <w:rPr>
            <w:rStyle w:val="Hyperlink"/>
            <w:noProof/>
          </w:rPr>
          <w:t>2.2.</w:t>
        </w:r>
        <w:r>
          <w:rPr>
            <w:rFonts w:asciiTheme="minorHAnsi" w:eastAsiaTheme="minorEastAsia" w:hAnsiTheme="minorHAnsi" w:cstheme="minorBidi"/>
            <w:noProof/>
            <w:sz w:val="22"/>
            <w:szCs w:val="22"/>
          </w:rPr>
          <w:tab/>
        </w:r>
        <w:r>
          <w:rPr>
            <w:rStyle w:val="Hyperlink"/>
            <w:noProof/>
          </w:rPr>
          <w:t>Überblick der vier Dimensionen einer Handlungskompetenz</w:t>
        </w:r>
        <w:r>
          <w:rPr>
            <w:noProof/>
            <w:webHidden/>
          </w:rPr>
          <w:tab/>
        </w:r>
        <w:r>
          <w:rPr>
            <w:noProof/>
            <w:webHidden/>
          </w:rPr>
          <w:fldChar w:fldCharType="begin"/>
        </w:r>
        <w:r>
          <w:rPr>
            <w:noProof/>
            <w:webHidden/>
          </w:rPr>
          <w:instrText xml:space="preserve"> PAGEREF _Toc143691012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9574"/>
        </w:tabs>
        <w:rPr>
          <w:rFonts w:asciiTheme="minorHAnsi" w:eastAsiaTheme="minorEastAsia" w:hAnsiTheme="minorHAnsi" w:cstheme="minorBidi"/>
          <w:noProof/>
          <w:sz w:val="22"/>
          <w:szCs w:val="22"/>
        </w:rPr>
      </w:pPr>
      <w:hyperlink w:anchor="_Toc143691013" w:history="1">
        <w:r>
          <w:rPr>
            <w:rStyle w:val="Hyperlink"/>
            <w:noProof/>
          </w:rPr>
          <w:t>2.3.</w:t>
        </w:r>
        <w:r>
          <w:rPr>
            <w:rFonts w:asciiTheme="minorHAnsi" w:eastAsiaTheme="minorEastAsia" w:hAnsiTheme="minorHAnsi" w:cstheme="minorBidi"/>
            <w:noProof/>
            <w:sz w:val="22"/>
            <w:szCs w:val="22"/>
          </w:rPr>
          <w:tab/>
        </w:r>
        <w:r>
          <w:rPr>
            <w:rStyle w:val="Hyperlink"/>
            <w:noProof/>
          </w:rPr>
          <w:t>Taxonomiestufen für Leistungsziele (nach Bloom)</w:t>
        </w:r>
        <w:r>
          <w:rPr>
            <w:noProof/>
            <w:webHidden/>
          </w:rPr>
          <w:tab/>
        </w:r>
        <w:r>
          <w:rPr>
            <w:noProof/>
            <w:webHidden/>
          </w:rPr>
          <w:fldChar w:fldCharType="begin"/>
        </w:r>
        <w:r>
          <w:rPr>
            <w:noProof/>
            <w:webHidden/>
          </w:rPr>
          <w:instrText xml:space="preserve"> PAGEREF _Toc143691013 \h </w:instrText>
        </w:r>
        <w:r>
          <w:rPr>
            <w:noProof/>
            <w:webHidden/>
          </w:rPr>
        </w:r>
        <w:r>
          <w:rPr>
            <w:noProof/>
            <w:webHidden/>
          </w:rPr>
          <w:fldChar w:fldCharType="separate"/>
        </w:r>
        <w:r>
          <w:rPr>
            <w:noProof/>
            <w:webHidden/>
          </w:rPr>
          <w:t>5</w:t>
        </w:r>
        <w:r>
          <w:rPr>
            <w:noProof/>
            <w:webHidden/>
          </w:rPr>
          <w:fldChar w:fldCharType="end"/>
        </w:r>
      </w:hyperlink>
    </w:p>
    <w:p>
      <w:pPr>
        <w:pStyle w:val="Verzeichnis2"/>
        <w:tabs>
          <w:tab w:val="left" w:pos="880"/>
          <w:tab w:val="right" w:leader="dot" w:pos="9574"/>
        </w:tabs>
        <w:rPr>
          <w:rFonts w:asciiTheme="minorHAnsi" w:eastAsiaTheme="minorEastAsia" w:hAnsiTheme="minorHAnsi" w:cstheme="minorBidi"/>
          <w:noProof/>
          <w:sz w:val="22"/>
          <w:szCs w:val="22"/>
        </w:rPr>
      </w:pPr>
      <w:hyperlink w:anchor="_Toc143691014" w:history="1">
        <w:r>
          <w:rPr>
            <w:rStyle w:val="Hyperlink"/>
            <w:noProof/>
          </w:rPr>
          <w:t>2.4.</w:t>
        </w:r>
        <w:r>
          <w:rPr>
            <w:rFonts w:asciiTheme="minorHAnsi" w:eastAsiaTheme="minorEastAsia" w:hAnsiTheme="minorHAnsi" w:cstheme="minorBidi"/>
            <w:noProof/>
            <w:sz w:val="22"/>
            <w:szCs w:val="22"/>
          </w:rPr>
          <w:tab/>
        </w:r>
        <w:r>
          <w:rPr>
            <w:rStyle w:val="Hyperlink"/>
            <w:noProof/>
          </w:rPr>
          <w:t>Zusammenarbeit der Lernorte</w:t>
        </w:r>
        <w:r>
          <w:rPr>
            <w:noProof/>
            <w:webHidden/>
          </w:rPr>
          <w:tab/>
        </w:r>
        <w:r>
          <w:rPr>
            <w:noProof/>
            <w:webHidden/>
          </w:rPr>
          <w:fldChar w:fldCharType="begin"/>
        </w:r>
        <w:r>
          <w:rPr>
            <w:noProof/>
            <w:webHidden/>
          </w:rPr>
          <w:instrText xml:space="preserve"> PAGEREF _Toc143691014 \h </w:instrText>
        </w:r>
        <w:r>
          <w:rPr>
            <w:noProof/>
            <w:webHidden/>
          </w:rPr>
        </w:r>
        <w:r>
          <w:rPr>
            <w:noProof/>
            <w:webHidden/>
          </w:rPr>
          <w:fldChar w:fldCharType="separate"/>
        </w:r>
        <w:r>
          <w:rPr>
            <w:noProof/>
            <w:webHidden/>
          </w:rPr>
          <w:t>6</w:t>
        </w:r>
        <w:r>
          <w:rPr>
            <w:noProof/>
            <w:webHidden/>
          </w:rPr>
          <w:fldChar w:fldCharType="end"/>
        </w:r>
      </w:hyperlink>
    </w:p>
    <w:p>
      <w:pPr>
        <w:pStyle w:val="Verzeichnis1"/>
        <w:tabs>
          <w:tab w:val="left" w:pos="440"/>
          <w:tab w:val="right" w:leader="dot" w:pos="9574"/>
        </w:tabs>
        <w:rPr>
          <w:rFonts w:asciiTheme="minorHAnsi" w:eastAsiaTheme="minorEastAsia" w:hAnsiTheme="minorHAnsi" w:cstheme="minorBidi"/>
          <w:b w:val="0"/>
          <w:noProof/>
          <w:sz w:val="22"/>
          <w:szCs w:val="22"/>
        </w:rPr>
      </w:pPr>
      <w:hyperlink w:anchor="_Toc143691015" w:history="1">
        <w:r>
          <w:rPr>
            <w:rStyle w:val="Hyperlink"/>
            <w:noProof/>
          </w:rPr>
          <w:t>3.</w:t>
        </w:r>
        <w:r>
          <w:rPr>
            <w:rFonts w:asciiTheme="minorHAnsi" w:eastAsiaTheme="minorEastAsia" w:hAnsiTheme="minorHAnsi" w:cstheme="minorBidi"/>
            <w:b w:val="0"/>
            <w:noProof/>
            <w:sz w:val="22"/>
            <w:szCs w:val="22"/>
          </w:rPr>
          <w:tab/>
        </w:r>
        <w:r>
          <w:rPr>
            <w:rStyle w:val="Hyperlink"/>
            <w:noProof/>
          </w:rPr>
          <w:t>Qualifikationsprofil</w:t>
        </w:r>
        <w:r>
          <w:rPr>
            <w:noProof/>
            <w:webHidden/>
          </w:rPr>
          <w:tab/>
        </w:r>
        <w:r>
          <w:rPr>
            <w:noProof/>
            <w:webHidden/>
          </w:rPr>
          <w:fldChar w:fldCharType="begin"/>
        </w:r>
        <w:r>
          <w:rPr>
            <w:noProof/>
            <w:webHidden/>
          </w:rPr>
          <w:instrText xml:space="preserve"> PAGEREF _Toc143691015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574"/>
        </w:tabs>
        <w:rPr>
          <w:rFonts w:asciiTheme="minorHAnsi" w:eastAsiaTheme="minorEastAsia" w:hAnsiTheme="minorHAnsi" w:cstheme="minorBidi"/>
          <w:noProof/>
          <w:sz w:val="22"/>
          <w:szCs w:val="22"/>
        </w:rPr>
      </w:pPr>
      <w:hyperlink w:anchor="_Toc143691016" w:history="1">
        <w:r>
          <w:rPr>
            <w:rStyle w:val="Hyperlink"/>
            <w:noProof/>
          </w:rPr>
          <w:t>3.1.</w:t>
        </w:r>
        <w:r>
          <w:rPr>
            <w:rFonts w:asciiTheme="minorHAnsi" w:eastAsiaTheme="minorEastAsia" w:hAnsiTheme="minorHAnsi" w:cstheme="minorBidi"/>
            <w:noProof/>
            <w:sz w:val="22"/>
            <w:szCs w:val="22"/>
          </w:rPr>
          <w:tab/>
        </w:r>
        <w:r>
          <w:rPr>
            <w:rStyle w:val="Hyperlink"/>
            <w:noProof/>
          </w:rPr>
          <w:t>Berufsbild</w:t>
        </w:r>
        <w:r>
          <w:rPr>
            <w:noProof/>
            <w:webHidden/>
          </w:rPr>
          <w:tab/>
        </w:r>
        <w:r>
          <w:rPr>
            <w:noProof/>
            <w:webHidden/>
          </w:rPr>
          <w:fldChar w:fldCharType="begin"/>
        </w:r>
        <w:r>
          <w:rPr>
            <w:noProof/>
            <w:webHidden/>
          </w:rPr>
          <w:instrText xml:space="preserve"> PAGEREF _Toc143691016 \h </w:instrText>
        </w:r>
        <w:r>
          <w:rPr>
            <w:noProof/>
            <w:webHidden/>
          </w:rPr>
        </w:r>
        <w:r>
          <w:rPr>
            <w:noProof/>
            <w:webHidden/>
          </w:rPr>
          <w:fldChar w:fldCharType="separate"/>
        </w:r>
        <w:r>
          <w:rPr>
            <w:noProof/>
            <w:webHidden/>
          </w:rPr>
          <w:t>7</w:t>
        </w:r>
        <w:r>
          <w:rPr>
            <w:noProof/>
            <w:webHidden/>
          </w:rPr>
          <w:fldChar w:fldCharType="end"/>
        </w:r>
      </w:hyperlink>
    </w:p>
    <w:p>
      <w:pPr>
        <w:pStyle w:val="Verzeichnis2"/>
        <w:tabs>
          <w:tab w:val="left" w:pos="880"/>
          <w:tab w:val="right" w:leader="dot" w:pos="9574"/>
        </w:tabs>
        <w:rPr>
          <w:rFonts w:asciiTheme="minorHAnsi" w:eastAsiaTheme="minorEastAsia" w:hAnsiTheme="minorHAnsi" w:cstheme="minorBidi"/>
          <w:noProof/>
          <w:sz w:val="22"/>
          <w:szCs w:val="22"/>
        </w:rPr>
      </w:pPr>
      <w:hyperlink w:anchor="_Toc143691017" w:history="1">
        <w:r>
          <w:rPr>
            <w:rStyle w:val="Hyperlink"/>
            <w:noProof/>
          </w:rPr>
          <w:t>3.2.</w:t>
        </w:r>
        <w:r>
          <w:rPr>
            <w:rFonts w:asciiTheme="minorHAnsi" w:eastAsiaTheme="minorEastAsia" w:hAnsiTheme="minorHAnsi" w:cstheme="minorBidi"/>
            <w:noProof/>
            <w:sz w:val="22"/>
            <w:szCs w:val="22"/>
          </w:rPr>
          <w:tab/>
        </w:r>
        <w:r>
          <w:rPr>
            <w:rStyle w:val="Hyperlink"/>
            <w:noProof/>
          </w:rPr>
          <w:t>Übersicht der Handlungskompetenzen</w:t>
        </w:r>
        <w:r>
          <w:rPr>
            <w:noProof/>
            <w:webHidden/>
          </w:rPr>
          <w:tab/>
        </w:r>
        <w:r>
          <w:rPr>
            <w:noProof/>
            <w:webHidden/>
          </w:rPr>
          <w:fldChar w:fldCharType="begin"/>
        </w:r>
        <w:r>
          <w:rPr>
            <w:noProof/>
            <w:webHidden/>
          </w:rPr>
          <w:instrText xml:space="preserve"> PAGEREF _Toc143691017 \h </w:instrText>
        </w:r>
        <w:r>
          <w:rPr>
            <w:noProof/>
            <w:webHidden/>
          </w:rPr>
        </w:r>
        <w:r>
          <w:rPr>
            <w:noProof/>
            <w:webHidden/>
          </w:rPr>
          <w:fldChar w:fldCharType="separate"/>
        </w:r>
        <w:r>
          <w:rPr>
            <w:noProof/>
            <w:webHidden/>
          </w:rPr>
          <w:t>8</w:t>
        </w:r>
        <w:r>
          <w:rPr>
            <w:noProof/>
            <w:webHidden/>
          </w:rPr>
          <w:fldChar w:fldCharType="end"/>
        </w:r>
      </w:hyperlink>
    </w:p>
    <w:p>
      <w:pPr>
        <w:pStyle w:val="Verzeichnis2"/>
        <w:tabs>
          <w:tab w:val="left" w:pos="880"/>
          <w:tab w:val="right" w:leader="dot" w:pos="9574"/>
        </w:tabs>
        <w:rPr>
          <w:rFonts w:asciiTheme="minorHAnsi" w:eastAsiaTheme="minorEastAsia" w:hAnsiTheme="minorHAnsi" w:cstheme="minorBidi"/>
          <w:noProof/>
          <w:sz w:val="22"/>
          <w:szCs w:val="22"/>
        </w:rPr>
      </w:pPr>
      <w:hyperlink w:anchor="_Toc143691018" w:history="1">
        <w:r>
          <w:rPr>
            <w:rStyle w:val="Hyperlink"/>
            <w:noProof/>
          </w:rPr>
          <w:t>3.3.</w:t>
        </w:r>
        <w:r>
          <w:rPr>
            <w:rFonts w:asciiTheme="minorHAnsi" w:eastAsiaTheme="minorEastAsia" w:hAnsiTheme="minorHAnsi" w:cstheme="minorBidi"/>
            <w:noProof/>
            <w:sz w:val="22"/>
            <w:szCs w:val="22"/>
          </w:rPr>
          <w:tab/>
        </w:r>
        <w:r>
          <w:rPr>
            <w:rStyle w:val="Hyperlink"/>
            <w:noProof/>
          </w:rPr>
          <w:t>Anforderungsniveau des Berufes</w:t>
        </w:r>
        <w:r>
          <w:rPr>
            <w:noProof/>
            <w:webHidden/>
          </w:rPr>
          <w:tab/>
        </w:r>
        <w:r>
          <w:rPr>
            <w:noProof/>
            <w:webHidden/>
          </w:rPr>
          <w:fldChar w:fldCharType="begin"/>
        </w:r>
        <w:r>
          <w:rPr>
            <w:noProof/>
            <w:webHidden/>
          </w:rPr>
          <w:instrText xml:space="preserve"> PAGEREF _Toc143691018 \h </w:instrText>
        </w:r>
        <w:r>
          <w:rPr>
            <w:noProof/>
            <w:webHidden/>
          </w:rPr>
        </w:r>
        <w:r>
          <w:rPr>
            <w:noProof/>
            <w:webHidden/>
          </w:rPr>
          <w:fldChar w:fldCharType="separate"/>
        </w:r>
        <w:r>
          <w:rPr>
            <w:noProof/>
            <w:webHidden/>
          </w:rPr>
          <w:t>8</w:t>
        </w:r>
        <w:r>
          <w:rPr>
            <w:noProof/>
            <w:webHidden/>
          </w:rPr>
          <w:fldChar w:fldCharType="end"/>
        </w:r>
      </w:hyperlink>
    </w:p>
    <w:p>
      <w:pPr>
        <w:pStyle w:val="Verzeichnis1"/>
        <w:tabs>
          <w:tab w:val="right" w:leader="dot" w:pos="9574"/>
        </w:tabs>
        <w:rPr>
          <w:rFonts w:asciiTheme="minorHAnsi" w:eastAsiaTheme="minorEastAsia" w:hAnsiTheme="minorHAnsi" w:cstheme="minorBidi"/>
          <w:b w:val="0"/>
          <w:noProof/>
          <w:sz w:val="22"/>
          <w:szCs w:val="22"/>
        </w:rPr>
      </w:pPr>
      <w:hyperlink w:anchor="_Toc143691019" w:history="1">
        <w:r>
          <w:rPr>
            <w:rStyle w:val="Hyperlink"/>
            <w:noProof/>
          </w:rPr>
          <w:t>4. Handlungskompetenzbereiche, Handlungskompetenzen und Leistungsziele je Lernort</w:t>
        </w:r>
        <w:r>
          <w:rPr>
            <w:noProof/>
            <w:webHidden/>
          </w:rPr>
          <w:tab/>
        </w:r>
        <w:r>
          <w:rPr>
            <w:noProof/>
            <w:webHidden/>
          </w:rPr>
          <w:fldChar w:fldCharType="begin"/>
        </w:r>
        <w:r>
          <w:rPr>
            <w:noProof/>
            <w:webHidden/>
          </w:rPr>
          <w:instrText xml:space="preserve"> PAGEREF _Toc143691019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574"/>
        </w:tabs>
        <w:rPr>
          <w:rFonts w:asciiTheme="minorHAnsi" w:eastAsiaTheme="minorEastAsia" w:hAnsiTheme="minorHAnsi" w:cstheme="minorBidi"/>
          <w:noProof/>
          <w:sz w:val="22"/>
          <w:szCs w:val="22"/>
        </w:rPr>
      </w:pPr>
      <w:hyperlink w:anchor="_Toc143691020" w:history="1">
        <w:r>
          <w:rPr>
            <w:rStyle w:val="Hyperlink"/>
            <w:noProof/>
          </w:rPr>
          <w:t>4.1 Handlungskompetenzbereich a</w:t>
        </w:r>
        <w:r>
          <w:rPr>
            <w:noProof/>
            <w:webHidden/>
          </w:rPr>
          <w:tab/>
        </w:r>
        <w:r>
          <w:rPr>
            <w:noProof/>
            <w:webHidden/>
          </w:rPr>
          <w:fldChar w:fldCharType="begin"/>
        </w:r>
        <w:r>
          <w:rPr>
            <w:noProof/>
            <w:webHidden/>
          </w:rPr>
          <w:instrText xml:space="preserve"> PAGEREF _Toc143691020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574"/>
        </w:tabs>
        <w:rPr>
          <w:rFonts w:asciiTheme="minorHAnsi" w:eastAsiaTheme="minorEastAsia" w:hAnsiTheme="minorHAnsi" w:cstheme="minorBidi"/>
          <w:noProof/>
          <w:sz w:val="22"/>
          <w:szCs w:val="22"/>
        </w:rPr>
      </w:pPr>
      <w:hyperlink w:anchor="_Toc143691021" w:history="1">
        <w:r>
          <w:rPr>
            <w:rStyle w:val="Hyperlink"/>
            <w:noProof/>
          </w:rPr>
          <w:t>4.2 Handlungskompetenzbereich b: […]</w:t>
        </w:r>
        <w:r>
          <w:rPr>
            <w:noProof/>
            <w:webHidden/>
          </w:rPr>
          <w:tab/>
        </w:r>
        <w:r>
          <w:rPr>
            <w:noProof/>
            <w:webHidden/>
          </w:rPr>
          <w:fldChar w:fldCharType="begin"/>
        </w:r>
        <w:r>
          <w:rPr>
            <w:noProof/>
            <w:webHidden/>
          </w:rPr>
          <w:instrText xml:space="preserve"> PAGEREF _Toc143691021 \h </w:instrText>
        </w:r>
        <w:r>
          <w:rPr>
            <w:noProof/>
            <w:webHidden/>
          </w:rPr>
        </w:r>
        <w:r>
          <w:rPr>
            <w:noProof/>
            <w:webHidden/>
          </w:rPr>
          <w:fldChar w:fldCharType="separate"/>
        </w:r>
        <w:r>
          <w:rPr>
            <w:noProof/>
            <w:webHidden/>
          </w:rPr>
          <w:t>9</w:t>
        </w:r>
        <w:r>
          <w:rPr>
            <w:noProof/>
            <w:webHidden/>
          </w:rPr>
          <w:fldChar w:fldCharType="end"/>
        </w:r>
      </w:hyperlink>
    </w:p>
    <w:p>
      <w:pPr>
        <w:pStyle w:val="Verzeichnis2"/>
        <w:tabs>
          <w:tab w:val="right" w:leader="dot" w:pos="9574"/>
        </w:tabs>
        <w:rPr>
          <w:rFonts w:asciiTheme="minorHAnsi" w:eastAsiaTheme="minorEastAsia" w:hAnsiTheme="minorHAnsi" w:cstheme="minorBidi"/>
          <w:noProof/>
          <w:sz w:val="22"/>
          <w:szCs w:val="22"/>
        </w:rPr>
      </w:pPr>
      <w:hyperlink w:anchor="_Toc143691022" w:history="1">
        <w:r>
          <w:rPr>
            <w:rStyle w:val="Hyperlink"/>
            <w:noProof/>
          </w:rPr>
          <w:t>4.3 Handlungskompetenzbereich c: […]</w:t>
        </w:r>
        <w:r>
          <w:rPr>
            <w:noProof/>
            <w:webHidden/>
          </w:rPr>
          <w:tab/>
        </w:r>
        <w:r>
          <w:rPr>
            <w:noProof/>
            <w:webHidden/>
          </w:rPr>
          <w:fldChar w:fldCharType="begin"/>
        </w:r>
        <w:r>
          <w:rPr>
            <w:noProof/>
            <w:webHidden/>
          </w:rPr>
          <w:instrText xml:space="preserve"> PAGEREF _Toc143691022 \h </w:instrText>
        </w:r>
        <w:r>
          <w:rPr>
            <w:noProof/>
            <w:webHidden/>
          </w:rPr>
        </w:r>
        <w:r>
          <w:rPr>
            <w:noProof/>
            <w:webHidden/>
          </w:rPr>
          <w:fldChar w:fldCharType="separate"/>
        </w:r>
        <w:r>
          <w:rPr>
            <w:noProof/>
            <w:webHidden/>
          </w:rPr>
          <w:t>9</w:t>
        </w:r>
        <w:r>
          <w:rPr>
            <w:noProof/>
            <w:webHidden/>
          </w:rPr>
          <w:fldChar w:fldCharType="end"/>
        </w:r>
      </w:hyperlink>
    </w:p>
    <w:p>
      <w:pPr>
        <w:pStyle w:val="Verzeichnis1"/>
        <w:tabs>
          <w:tab w:val="right" w:leader="dot" w:pos="9574"/>
        </w:tabs>
        <w:rPr>
          <w:rFonts w:asciiTheme="minorHAnsi" w:eastAsiaTheme="minorEastAsia" w:hAnsiTheme="minorHAnsi" w:cstheme="minorBidi"/>
          <w:b w:val="0"/>
          <w:noProof/>
          <w:sz w:val="22"/>
          <w:szCs w:val="22"/>
        </w:rPr>
      </w:pPr>
      <w:hyperlink w:anchor="_Toc143691023" w:history="1">
        <w:r>
          <w:rPr>
            <w:rStyle w:val="Hyperlink"/>
            <w:noProof/>
          </w:rPr>
          <w:t>Erstellung</w:t>
        </w:r>
        <w:r>
          <w:rPr>
            <w:noProof/>
            <w:webHidden/>
          </w:rPr>
          <w:tab/>
        </w:r>
        <w:r>
          <w:rPr>
            <w:noProof/>
            <w:webHidden/>
          </w:rPr>
          <w:fldChar w:fldCharType="begin"/>
        </w:r>
        <w:r>
          <w:rPr>
            <w:noProof/>
            <w:webHidden/>
          </w:rPr>
          <w:instrText xml:space="preserve"> PAGEREF _Toc143691023 \h </w:instrText>
        </w:r>
        <w:r>
          <w:rPr>
            <w:noProof/>
            <w:webHidden/>
          </w:rPr>
        </w:r>
        <w:r>
          <w:rPr>
            <w:noProof/>
            <w:webHidden/>
          </w:rPr>
          <w:fldChar w:fldCharType="separate"/>
        </w:r>
        <w:r>
          <w:rPr>
            <w:noProof/>
            <w:webHidden/>
          </w:rPr>
          <w:t>10</w:t>
        </w:r>
        <w:r>
          <w:rPr>
            <w:noProof/>
            <w:webHidden/>
          </w:rPr>
          <w:fldChar w:fldCharType="end"/>
        </w:r>
      </w:hyperlink>
    </w:p>
    <w:p>
      <w:pPr>
        <w:pStyle w:val="Verzeichnis1"/>
        <w:tabs>
          <w:tab w:val="right" w:leader="dot" w:pos="9574"/>
        </w:tabs>
        <w:rPr>
          <w:rFonts w:asciiTheme="minorHAnsi" w:eastAsiaTheme="minorEastAsia" w:hAnsiTheme="minorHAnsi" w:cstheme="minorBidi"/>
          <w:b w:val="0"/>
          <w:noProof/>
          <w:sz w:val="22"/>
          <w:szCs w:val="22"/>
        </w:rPr>
      </w:pPr>
      <w:hyperlink w:anchor="_Toc143691024" w:history="1">
        <w:r>
          <w:rPr>
            <w:rStyle w:val="Hyperlink"/>
            <w:noProof/>
          </w:rPr>
          <w:t>Anhang 1: Verzeichnis der Instrumente zur Sicherstellung und Umsetzung der beruflichen Grundbildung sowie zur Förderung der Qualität</w:t>
        </w:r>
        <w:r>
          <w:rPr>
            <w:noProof/>
            <w:webHidden/>
          </w:rPr>
          <w:tab/>
        </w:r>
        <w:r>
          <w:rPr>
            <w:noProof/>
            <w:webHidden/>
          </w:rPr>
          <w:fldChar w:fldCharType="begin"/>
        </w:r>
        <w:r>
          <w:rPr>
            <w:noProof/>
            <w:webHidden/>
          </w:rPr>
          <w:instrText xml:space="preserve"> PAGEREF _Toc143691024 \h </w:instrText>
        </w:r>
        <w:r>
          <w:rPr>
            <w:noProof/>
            <w:webHidden/>
          </w:rPr>
        </w:r>
        <w:r>
          <w:rPr>
            <w:noProof/>
            <w:webHidden/>
          </w:rPr>
          <w:fldChar w:fldCharType="separate"/>
        </w:r>
        <w:r>
          <w:rPr>
            <w:noProof/>
            <w:webHidden/>
          </w:rPr>
          <w:t>11</w:t>
        </w:r>
        <w:r>
          <w:rPr>
            <w:noProof/>
            <w:webHidden/>
          </w:rPr>
          <w:fldChar w:fldCharType="end"/>
        </w:r>
      </w:hyperlink>
    </w:p>
    <w:p>
      <w:pPr>
        <w:pStyle w:val="Verzeichnis1"/>
        <w:tabs>
          <w:tab w:val="right" w:leader="dot" w:pos="9574"/>
        </w:tabs>
        <w:rPr>
          <w:rFonts w:asciiTheme="minorHAnsi" w:eastAsiaTheme="minorEastAsia" w:hAnsiTheme="minorHAnsi" w:cstheme="minorBidi"/>
          <w:b w:val="0"/>
          <w:noProof/>
          <w:sz w:val="22"/>
          <w:szCs w:val="22"/>
        </w:rPr>
      </w:pPr>
      <w:hyperlink w:anchor="_Toc143691025" w:history="1">
        <w:r>
          <w:rPr>
            <w:rStyle w:val="Hyperlink"/>
            <w:noProof/>
          </w:rPr>
          <w:t>Anhang 2: Begleitende Massnahmen der Arbeitssicherheit und des Gesundheitsschutzes</w:t>
        </w:r>
        <w:r>
          <w:rPr>
            <w:noProof/>
            <w:webHidden/>
          </w:rPr>
          <w:tab/>
        </w:r>
        <w:r>
          <w:rPr>
            <w:noProof/>
            <w:webHidden/>
          </w:rPr>
          <w:fldChar w:fldCharType="begin"/>
        </w:r>
        <w:r>
          <w:rPr>
            <w:noProof/>
            <w:webHidden/>
          </w:rPr>
          <w:instrText xml:space="preserve"> PAGEREF _Toc143691025 \h </w:instrText>
        </w:r>
        <w:r>
          <w:rPr>
            <w:noProof/>
            <w:webHidden/>
          </w:rPr>
        </w:r>
        <w:r>
          <w:rPr>
            <w:noProof/>
            <w:webHidden/>
          </w:rPr>
          <w:fldChar w:fldCharType="separate"/>
        </w:r>
        <w:r>
          <w:rPr>
            <w:noProof/>
            <w:webHidden/>
          </w:rPr>
          <w:t>12</w:t>
        </w:r>
        <w:r>
          <w:rPr>
            <w:noProof/>
            <w:webHidden/>
          </w:rPr>
          <w:fldChar w:fldCharType="end"/>
        </w:r>
      </w:hyperlink>
    </w:p>
    <w:p>
      <w:pPr>
        <w:pStyle w:val="Verzeichnis1"/>
        <w:tabs>
          <w:tab w:val="right" w:leader="dot" w:pos="9574"/>
        </w:tabs>
        <w:rPr>
          <w:rFonts w:asciiTheme="minorHAnsi" w:eastAsiaTheme="minorEastAsia" w:hAnsiTheme="minorHAnsi" w:cstheme="minorBidi"/>
          <w:b w:val="0"/>
          <w:noProof/>
          <w:sz w:val="22"/>
          <w:szCs w:val="22"/>
        </w:rPr>
      </w:pPr>
      <w:hyperlink w:anchor="_Toc143691026" w:history="1">
        <w:r>
          <w:rPr>
            <w:rStyle w:val="Hyperlink"/>
            <w:noProof/>
          </w:rPr>
          <w:t>[Anhang 3: ]</w:t>
        </w:r>
        <w:r>
          <w:rPr>
            <w:noProof/>
            <w:webHidden/>
          </w:rPr>
          <w:tab/>
        </w:r>
        <w:r>
          <w:rPr>
            <w:noProof/>
            <w:webHidden/>
          </w:rPr>
          <w:fldChar w:fldCharType="begin"/>
        </w:r>
        <w:r>
          <w:rPr>
            <w:noProof/>
            <w:webHidden/>
          </w:rPr>
          <w:instrText xml:space="preserve"> PAGEREF _Toc143691026 \h </w:instrText>
        </w:r>
        <w:r>
          <w:rPr>
            <w:noProof/>
            <w:webHidden/>
          </w:rPr>
        </w:r>
        <w:r>
          <w:rPr>
            <w:noProof/>
            <w:webHidden/>
          </w:rPr>
          <w:fldChar w:fldCharType="separate"/>
        </w:r>
        <w:r>
          <w:rPr>
            <w:noProof/>
            <w:webHidden/>
          </w:rPr>
          <w:t>13</w:t>
        </w:r>
        <w:r>
          <w:rPr>
            <w:noProof/>
            <w:webHidden/>
          </w:rPr>
          <w:fldChar w:fldCharType="end"/>
        </w:r>
      </w:hyperlink>
    </w:p>
    <w:p>
      <w:pPr>
        <w:pStyle w:val="Verzeichnis1"/>
        <w:tabs>
          <w:tab w:val="right" w:leader="dot" w:pos="9574"/>
        </w:tabs>
        <w:rPr>
          <w:rFonts w:asciiTheme="minorHAnsi" w:eastAsiaTheme="minorEastAsia" w:hAnsiTheme="minorHAnsi" w:cstheme="minorBidi"/>
          <w:b w:val="0"/>
          <w:noProof/>
          <w:sz w:val="22"/>
          <w:szCs w:val="22"/>
        </w:rPr>
      </w:pPr>
      <w:hyperlink w:anchor="_Toc143691027" w:history="1">
        <w:r>
          <w:rPr>
            <w:rStyle w:val="Hyperlink"/>
            <w:noProof/>
          </w:rPr>
          <w:t>Glossar</w:t>
        </w:r>
        <w:r>
          <w:rPr>
            <w:noProof/>
            <w:webHidden/>
          </w:rPr>
          <w:tab/>
        </w:r>
        <w:r>
          <w:rPr>
            <w:noProof/>
            <w:webHidden/>
          </w:rPr>
          <w:fldChar w:fldCharType="begin"/>
        </w:r>
        <w:r>
          <w:rPr>
            <w:noProof/>
            <w:webHidden/>
          </w:rPr>
          <w:instrText xml:space="preserve"> PAGEREF _Toc143691027 \h </w:instrText>
        </w:r>
        <w:r>
          <w:rPr>
            <w:noProof/>
            <w:webHidden/>
          </w:rPr>
        </w:r>
        <w:r>
          <w:rPr>
            <w:noProof/>
            <w:webHidden/>
          </w:rPr>
          <w:fldChar w:fldCharType="separate"/>
        </w:r>
        <w:r>
          <w:rPr>
            <w:noProof/>
            <w:webHidden/>
          </w:rPr>
          <w:t>14</w:t>
        </w:r>
        <w:r>
          <w:rPr>
            <w:noProof/>
            <w:webHidden/>
          </w:rPr>
          <w:fldChar w:fldCharType="end"/>
        </w:r>
      </w:hyperlink>
    </w:p>
    <w:p>
      <w:pPr>
        <w:pStyle w:val="Verzeichnis1"/>
        <w:tabs>
          <w:tab w:val="right" w:leader="dot" w:pos="9574"/>
        </w:tabs>
        <w:rPr>
          <w:rFonts w:asciiTheme="minorHAnsi" w:eastAsiaTheme="minorEastAsia" w:hAnsiTheme="minorHAnsi" w:cstheme="minorBidi"/>
          <w:b w:val="0"/>
          <w:noProof/>
          <w:sz w:val="22"/>
          <w:szCs w:val="22"/>
        </w:rPr>
      </w:pPr>
      <w:hyperlink w:anchor="_Toc143691028" w:history="1">
        <w:r>
          <w:rPr>
            <w:rStyle w:val="Hyperlink"/>
            <w:noProof/>
          </w:rPr>
          <w:t>Hinweise und Erläuterungen zum Erstellen des Bildungsplans (bitte nach Erstellen des Bildungsplans löschen)</w:t>
        </w:r>
        <w:r>
          <w:rPr>
            <w:noProof/>
            <w:webHidden/>
          </w:rPr>
          <w:tab/>
        </w:r>
        <w:r>
          <w:rPr>
            <w:noProof/>
            <w:webHidden/>
          </w:rPr>
          <w:fldChar w:fldCharType="begin"/>
        </w:r>
        <w:r>
          <w:rPr>
            <w:noProof/>
            <w:webHidden/>
          </w:rPr>
          <w:instrText xml:space="preserve"> PAGEREF _Toc143691028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left" w:pos="660"/>
          <w:tab w:val="right" w:leader="dot" w:pos="9574"/>
        </w:tabs>
        <w:rPr>
          <w:rFonts w:asciiTheme="minorHAnsi" w:eastAsiaTheme="minorEastAsia" w:hAnsiTheme="minorHAnsi" w:cstheme="minorBidi"/>
          <w:noProof/>
          <w:sz w:val="22"/>
          <w:szCs w:val="22"/>
        </w:rPr>
      </w:pPr>
      <w:hyperlink w:anchor="_Toc143691029" w:history="1">
        <w:r>
          <w:rPr>
            <w:rStyle w:val="Hyperlink"/>
            <w:noProof/>
          </w:rPr>
          <w:t>1.</w:t>
        </w:r>
        <w:r>
          <w:rPr>
            <w:rFonts w:asciiTheme="minorHAnsi" w:eastAsiaTheme="minorEastAsia" w:hAnsiTheme="minorHAnsi" w:cstheme="minorBidi"/>
            <w:noProof/>
            <w:sz w:val="22"/>
            <w:szCs w:val="22"/>
          </w:rPr>
          <w:tab/>
        </w:r>
        <w:r>
          <w:rPr>
            <w:rStyle w:val="Hyperlink"/>
            <w:noProof/>
          </w:rPr>
          <w:t>Hinweise für das Erstellen des Qualifikationsprofils</w:t>
        </w:r>
        <w:r>
          <w:rPr>
            <w:noProof/>
            <w:webHidden/>
          </w:rPr>
          <w:tab/>
        </w:r>
        <w:r>
          <w:rPr>
            <w:noProof/>
            <w:webHidden/>
          </w:rPr>
          <w:fldChar w:fldCharType="begin"/>
        </w:r>
        <w:r>
          <w:rPr>
            <w:noProof/>
            <w:webHidden/>
          </w:rPr>
          <w:instrText xml:space="preserve"> PAGEREF _Toc143691029 \h </w:instrText>
        </w:r>
        <w:r>
          <w:rPr>
            <w:noProof/>
            <w:webHidden/>
          </w:rPr>
        </w:r>
        <w:r>
          <w:rPr>
            <w:noProof/>
            <w:webHidden/>
          </w:rPr>
          <w:fldChar w:fldCharType="separate"/>
        </w:r>
        <w:r>
          <w:rPr>
            <w:noProof/>
            <w:webHidden/>
          </w:rPr>
          <w:t>17</w:t>
        </w:r>
        <w:r>
          <w:rPr>
            <w:noProof/>
            <w:webHidden/>
          </w:rPr>
          <w:fldChar w:fldCharType="end"/>
        </w:r>
      </w:hyperlink>
    </w:p>
    <w:p>
      <w:pPr>
        <w:pStyle w:val="Verzeichnis2"/>
        <w:tabs>
          <w:tab w:val="left" w:pos="660"/>
          <w:tab w:val="right" w:leader="dot" w:pos="9574"/>
        </w:tabs>
        <w:rPr>
          <w:rFonts w:asciiTheme="minorHAnsi" w:eastAsiaTheme="minorEastAsia" w:hAnsiTheme="minorHAnsi" w:cstheme="minorBidi"/>
          <w:noProof/>
          <w:sz w:val="22"/>
          <w:szCs w:val="22"/>
        </w:rPr>
      </w:pPr>
      <w:hyperlink w:anchor="_Toc143691030" w:history="1">
        <w:r>
          <w:rPr>
            <w:rStyle w:val="Hyperlink"/>
            <w:noProof/>
          </w:rPr>
          <w:t>2.</w:t>
        </w:r>
        <w:r>
          <w:rPr>
            <w:rFonts w:asciiTheme="minorHAnsi" w:eastAsiaTheme="minorEastAsia" w:hAnsiTheme="minorHAnsi" w:cstheme="minorBidi"/>
            <w:noProof/>
            <w:sz w:val="22"/>
            <w:szCs w:val="22"/>
          </w:rPr>
          <w:tab/>
        </w:r>
        <w:r>
          <w:rPr>
            <w:rStyle w:val="Hyperlink"/>
            <w:noProof/>
          </w:rPr>
          <w:t>Weitere Erläuterungen zu den Handlungskompetenzen</w:t>
        </w:r>
        <w:r>
          <w:rPr>
            <w:noProof/>
            <w:webHidden/>
          </w:rPr>
          <w:tab/>
        </w:r>
        <w:r>
          <w:rPr>
            <w:noProof/>
            <w:webHidden/>
          </w:rPr>
          <w:fldChar w:fldCharType="begin"/>
        </w:r>
        <w:r>
          <w:rPr>
            <w:noProof/>
            <w:webHidden/>
          </w:rPr>
          <w:instrText xml:space="preserve"> PAGEREF _Toc143691030 \h </w:instrText>
        </w:r>
        <w:r>
          <w:rPr>
            <w:noProof/>
            <w:webHidden/>
          </w:rPr>
        </w:r>
        <w:r>
          <w:rPr>
            <w:noProof/>
            <w:webHidden/>
          </w:rPr>
          <w:fldChar w:fldCharType="separate"/>
        </w:r>
        <w:r>
          <w:rPr>
            <w:noProof/>
            <w:webHidden/>
          </w:rPr>
          <w:t>19</w:t>
        </w:r>
        <w:r>
          <w:rPr>
            <w:noProof/>
            <w:webHidden/>
          </w:rPr>
          <w:fldChar w:fldCharType="end"/>
        </w:r>
      </w:hyperlink>
    </w:p>
    <w:p>
      <w:pPr>
        <w:spacing w:before="720"/>
        <w:rPr>
          <w:b/>
          <w:sz w:val="30"/>
          <w:szCs w:val="30"/>
        </w:rPr>
      </w:pPr>
      <w:r>
        <w:rPr>
          <w:b/>
          <w:bCs/>
          <w:lang w:val="de-DE"/>
        </w:rPr>
        <w:fldChar w:fldCharType="end"/>
      </w:r>
      <w:bookmarkStart w:id="1" w:name="_Toc459320418"/>
      <w:r>
        <w:rPr>
          <w:b/>
          <w:sz w:val="30"/>
          <w:szCs w:val="30"/>
        </w:rPr>
        <w:t>Abkürzungsverzeichnis</w:t>
      </w:r>
      <w:bookmarkEnd w:id="1"/>
    </w:p>
    <w:p>
      <w:pPr>
        <w:widowControl w:val="0"/>
        <w:tabs>
          <w:tab w:val="left" w:pos="1134"/>
        </w:tabs>
        <w:autoSpaceDE w:val="0"/>
        <w:autoSpaceDN w:val="0"/>
        <w:adjustRightInd w:val="0"/>
        <w:spacing w:after="60"/>
        <w:rPr>
          <w:color w:val="FF0000"/>
        </w:rPr>
      </w:pPr>
      <w:r>
        <w:rPr>
          <w:b/>
          <w:color w:val="FF0000"/>
        </w:rPr>
        <w:t>[BAFU</w:t>
      </w:r>
      <w:r>
        <w:rPr>
          <w:b/>
          <w:color w:val="FF0000"/>
        </w:rPr>
        <w:tab/>
      </w:r>
      <w:r>
        <w:rPr>
          <w:color w:val="FF0000"/>
        </w:rPr>
        <w:t>Bundesamt für Umwelt]</w:t>
      </w:r>
    </w:p>
    <w:p>
      <w:pPr>
        <w:widowControl w:val="0"/>
        <w:tabs>
          <w:tab w:val="left" w:pos="1134"/>
        </w:tabs>
        <w:autoSpaceDE w:val="0"/>
        <w:autoSpaceDN w:val="0"/>
        <w:adjustRightInd w:val="0"/>
        <w:spacing w:after="60"/>
        <w:rPr>
          <w:b/>
          <w:color w:val="FF0000"/>
        </w:rPr>
      </w:pPr>
      <w:r>
        <w:rPr>
          <w:b/>
          <w:color w:val="FF0000"/>
        </w:rPr>
        <w:t>[BAG</w:t>
      </w:r>
      <w:r>
        <w:rPr>
          <w:color w:val="FF0000"/>
        </w:rPr>
        <w:tab/>
        <w:t>Bundesamt für Gesundheit]</w:t>
      </w:r>
    </w:p>
    <w:p>
      <w:pPr>
        <w:widowControl w:val="0"/>
        <w:tabs>
          <w:tab w:val="left" w:pos="1134"/>
        </w:tabs>
        <w:autoSpaceDE w:val="0"/>
        <w:autoSpaceDN w:val="0"/>
        <w:adjustRightInd w:val="0"/>
        <w:spacing w:after="60"/>
        <w:rPr>
          <w:b/>
        </w:rPr>
      </w:pPr>
      <w:r>
        <w:rPr>
          <w:b/>
        </w:rPr>
        <w:t>BBG</w:t>
      </w:r>
      <w:r>
        <w:rPr>
          <w:b/>
        </w:rPr>
        <w:tab/>
      </w:r>
      <w:r>
        <w:t>Bundesgesetz über die Berufsbildung (Berufsbildungsgesetz), 2004</w:t>
      </w:r>
    </w:p>
    <w:p>
      <w:pPr>
        <w:widowControl w:val="0"/>
        <w:tabs>
          <w:tab w:val="left" w:pos="1134"/>
        </w:tabs>
        <w:autoSpaceDE w:val="0"/>
        <w:autoSpaceDN w:val="0"/>
        <w:adjustRightInd w:val="0"/>
        <w:spacing w:after="60"/>
      </w:pPr>
      <w:r>
        <w:rPr>
          <w:b/>
        </w:rPr>
        <w:t>BBV</w:t>
      </w:r>
      <w:r>
        <w:rPr>
          <w:b/>
        </w:rPr>
        <w:tab/>
      </w:r>
      <w:r>
        <w:t>Verordnung über die Berufsbildung (Berufsbildungsverordnung), 2004</w:t>
      </w:r>
    </w:p>
    <w:p>
      <w:pPr>
        <w:widowControl w:val="0"/>
        <w:tabs>
          <w:tab w:val="left" w:pos="1134"/>
        </w:tabs>
        <w:autoSpaceDE w:val="0"/>
        <w:autoSpaceDN w:val="0"/>
        <w:adjustRightInd w:val="0"/>
        <w:spacing w:after="60"/>
      </w:pPr>
      <w:proofErr w:type="spellStart"/>
      <w:r>
        <w:rPr>
          <w:b/>
        </w:rPr>
        <w:t>BiVo</w:t>
      </w:r>
      <w:proofErr w:type="spellEnd"/>
      <w:r>
        <w:rPr>
          <w:b/>
        </w:rPr>
        <w:tab/>
      </w:r>
      <w:r>
        <w:t>Verordnung über die berufliche Grundbildung (Bildungsverordnung)</w:t>
      </w:r>
    </w:p>
    <w:p>
      <w:pPr>
        <w:widowControl w:val="0"/>
        <w:tabs>
          <w:tab w:val="left" w:pos="1134"/>
        </w:tabs>
        <w:autoSpaceDE w:val="0"/>
        <w:autoSpaceDN w:val="0"/>
        <w:adjustRightInd w:val="0"/>
        <w:spacing w:after="60"/>
      </w:pPr>
      <w:r>
        <w:rPr>
          <w:b/>
        </w:rPr>
        <w:t>EBA</w:t>
      </w:r>
      <w:r>
        <w:rPr>
          <w:b/>
        </w:rPr>
        <w:tab/>
      </w:r>
      <w:r>
        <w:t>eidgenössisches Berufsattest</w:t>
      </w:r>
    </w:p>
    <w:p>
      <w:pPr>
        <w:widowControl w:val="0"/>
        <w:tabs>
          <w:tab w:val="left" w:pos="1134"/>
        </w:tabs>
        <w:autoSpaceDE w:val="0"/>
        <w:autoSpaceDN w:val="0"/>
        <w:adjustRightInd w:val="0"/>
        <w:spacing w:after="60"/>
      </w:pPr>
      <w:r>
        <w:rPr>
          <w:b/>
        </w:rPr>
        <w:t>EFZ</w:t>
      </w:r>
      <w:r>
        <w:rPr>
          <w:b/>
        </w:rPr>
        <w:tab/>
      </w:r>
      <w:r>
        <w:t>eidgenössisches Fähigkeitszeugnis</w:t>
      </w:r>
    </w:p>
    <w:p>
      <w:pPr>
        <w:widowControl w:val="0"/>
        <w:tabs>
          <w:tab w:val="left" w:pos="1134"/>
        </w:tabs>
        <w:autoSpaceDE w:val="0"/>
        <w:autoSpaceDN w:val="0"/>
        <w:adjustRightInd w:val="0"/>
        <w:spacing w:after="60"/>
      </w:pPr>
      <w:proofErr w:type="spellStart"/>
      <w:r>
        <w:rPr>
          <w:b/>
        </w:rPr>
        <w:t>OdA</w:t>
      </w:r>
      <w:proofErr w:type="spellEnd"/>
      <w:r>
        <w:rPr>
          <w:b/>
        </w:rPr>
        <w:tab/>
      </w:r>
      <w:r>
        <w:t>Organisation der Arbeitswelt (Berufsverband)</w:t>
      </w:r>
    </w:p>
    <w:p>
      <w:pPr>
        <w:widowControl w:val="0"/>
        <w:tabs>
          <w:tab w:val="left" w:pos="1134"/>
        </w:tabs>
        <w:autoSpaceDE w:val="0"/>
        <w:autoSpaceDN w:val="0"/>
        <w:adjustRightInd w:val="0"/>
        <w:spacing w:after="60"/>
        <w:rPr>
          <w:b/>
        </w:rPr>
      </w:pPr>
      <w:r>
        <w:rPr>
          <w:b/>
        </w:rPr>
        <w:t>SBFI</w:t>
      </w:r>
      <w:r>
        <w:rPr>
          <w:b/>
        </w:rPr>
        <w:tab/>
      </w:r>
      <w:r>
        <w:t>Staatssekretariat für Bildung, Forschung und Innovation</w:t>
      </w:r>
    </w:p>
    <w:p>
      <w:pPr>
        <w:widowControl w:val="0"/>
        <w:tabs>
          <w:tab w:val="left" w:pos="1134"/>
        </w:tabs>
        <w:autoSpaceDE w:val="0"/>
        <w:autoSpaceDN w:val="0"/>
        <w:adjustRightInd w:val="0"/>
        <w:spacing w:after="60"/>
      </w:pPr>
      <w:r>
        <w:rPr>
          <w:b/>
        </w:rPr>
        <w:t>SBBK</w:t>
      </w:r>
      <w:r>
        <w:tab/>
        <w:t>Schweizerische Berufsbildungsämter-Konferenz</w:t>
      </w:r>
    </w:p>
    <w:p>
      <w:pPr>
        <w:widowControl w:val="0"/>
        <w:tabs>
          <w:tab w:val="left" w:pos="1134"/>
        </w:tabs>
        <w:autoSpaceDE w:val="0"/>
        <w:autoSpaceDN w:val="0"/>
        <w:adjustRightInd w:val="0"/>
        <w:spacing w:after="60"/>
        <w:rPr>
          <w:b/>
        </w:rPr>
      </w:pPr>
      <w:r>
        <w:rPr>
          <w:b/>
        </w:rPr>
        <w:t>SDBB</w:t>
      </w:r>
      <w:r>
        <w:rPr>
          <w:b/>
        </w:rPr>
        <w:tab/>
      </w:r>
      <w:r>
        <w:t xml:space="preserve">Schweiz. Dienstleistungszentrum Berufsbildung </w:t>
      </w:r>
      <w:r>
        <w:rPr>
          <w:rFonts w:eastAsia="SimSun" w:cs="Arial"/>
          <w:sz w:val="18"/>
          <w:szCs w:val="18"/>
          <w:lang w:eastAsia="zh-CN"/>
        </w:rPr>
        <w:t xml:space="preserve">| </w:t>
      </w:r>
      <w:r>
        <w:rPr>
          <w:rFonts w:cs="Arial"/>
        </w:rPr>
        <w:t>Berufs-, Studien- und Laufbahnberatung</w:t>
      </w:r>
    </w:p>
    <w:p>
      <w:pPr>
        <w:widowControl w:val="0"/>
        <w:tabs>
          <w:tab w:val="left" w:pos="1134"/>
        </w:tabs>
        <w:autoSpaceDE w:val="0"/>
        <w:autoSpaceDN w:val="0"/>
        <w:adjustRightInd w:val="0"/>
        <w:spacing w:after="60"/>
        <w:rPr>
          <w:b/>
          <w:color w:val="FF0000"/>
        </w:rPr>
      </w:pPr>
      <w:r>
        <w:rPr>
          <w:b/>
          <w:color w:val="FF0000"/>
        </w:rPr>
        <w:t>[SECO</w:t>
      </w:r>
      <w:r>
        <w:rPr>
          <w:b/>
          <w:color w:val="FF0000"/>
        </w:rPr>
        <w:tab/>
      </w:r>
      <w:r>
        <w:rPr>
          <w:color w:val="FF0000"/>
        </w:rPr>
        <w:t>Staatssekretariat für Wirtschaft]</w:t>
      </w:r>
      <w:r>
        <w:rPr>
          <w:b/>
          <w:color w:val="FF0000"/>
        </w:rPr>
        <w:t xml:space="preserve"> </w:t>
      </w:r>
    </w:p>
    <w:p>
      <w:pPr>
        <w:widowControl w:val="0"/>
        <w:tabs>
          <w:tab w:val="left" w:pos="1134"/>
        </w:tabs>
        <w:autoSpaceDE w:val="0"/>
        <w:autoSpaceDN w:val="0"/>
        <w:adjustRightInd w:val="0"/>
        <w:spacing w:after="60"/>
        <w:rPr>
          <w:b/>
          <w:color w:val="FF0000"/>
        </w:rPr>
      </w:pPr>
      <w:r>
        <w:rPr>
          <w:b/>
          <w:color w:val="FF0000"/>
        </w:rPr>
        <w:t>[Suva</w:t>
      </w:r>
      <w:r>
        <w:rPr>
          <w:b/>
          <w:color w:val="FF0000"/>
        </w:rPr>
        <w:tab/>
      </w:r>
      <w:r>
        <w:rPr>
          <w:color w:val="FF0000"/>
        </w:rPr>
        <w:t>Schweiz. Unfallversicherungsanstalt]</w:t>
      </w:r>
    </w:p>
    <w:p>
      <w:pPr>
        <w:widowControl w:val="0"/>
        <w:tabs>
          <w:tab w:val="left" w:pos="1134"/>
        </w:tabs>
        <w:autoSpaceDE w:val="0"/>
        <w:autoSpaceDN w:val="0"/>
        <w:adjustRightInd w:val="0"/>
      </w:pPr>
      <w:proofErr w:type="spellStart"/>
      <w:r>
        <w:rPr>
          <w:b/>
        </w:rPr>
        <w:t>üK</w:t>
      </w:r>
      <w:proofErr w:type="spellEnd"/>
      <w:r>
        <w:rPr>
          <w:b/>
        </w:rPr>
        <w:tab/>
      </w:r>
      <w:r>
        <w:t>überbetrieblicher Kurs</w:t>
      </w:r>
    </w:p>
    <w:p>
      <w:pPr>
        <w:pStyle w:val="berschrift1"/>
        <w:numPr>
          <w:ilvl w:val="0"/>
          <w:numId w:val="36"/>
        </w:numPr>
        <w:ind w:left="709" w:hanging="709"/>
      </w:pPr>
      <w:r>
        <w:br w:type="page"/>
      </w:r>
      <w:bookmarkStart w:id="2" w:name="_Toc459320419"/>
      <w:bookmarkStart w:id="3" w:name="_Toc143691009"/>
      <w:r>
        <w:lastRenderedPageBreak/>
        <w:t>Einleitung</w:t>
      </w:r>
      <w:bookmarkEnd w:id="0"/>
      <w:bookmarkEnd w:id="2"/>
      <w:bookmarkEnd w:id="3"/>
    </w:p>
    <w:p>
      <w:pPr>
        <w:pBdr>
          <w:top w:val="single" w:sz="4" w:space="1" w:color="auto"/>
          <w:left w:val="single" w:sz="4" w:space="4" w:color="auto"/>
          <w:bottom w:val="single" w:sz="4" w:space="1" w:color="auto"/>
          <w:right w:val="single" w:sz="4" w:space="1" w:color="auto"/>
        </w:pBdr>
        <w:spacing w:after="360"/>
        <w:rPr>
          <w:color w:val="548DD4"/>
        </w:rPr>
      </w:pPr>
      <w:r>
        <w:rPr>
          <w:color w:val="548DD4"/>
        </w:rPr>
        <w:t xml:space="preserve">Optional: Zusammenfassung und/oder wichtigste Punkte aus Sicht </w:t>
      </w:r>
      <w:proofErr w:type="spellStart"/>
      <w:r>
        <w:rPr>
          <w:color w:val="548DD4"/>
        </w:rPr>
        <w:t>OdA</w:t>
      </w:r>
      <w:proofErr w:type="spellEnd"/>
      <w:r>
        <w:rPr>
          <w:color w:val="548DD4"/>
        </w:rPr>
        <w:t xml:space="preserve">, z.B. Beschreibung des Berufes im Sinne des Berufsbildes, Vision, Erläuterungen zur Handhabung des </w:t>
      </w:r>
      <w:proofErr w:type="spellStart"/>
      <w:r>
        <w:rPr>
          <w:color w:val="548DD4"/>
        </w:rPr>
        <w:t>Bipla</w:t>
      </w:r>
      <w:proofErr w:type="spellEnd"/>
      <w:r>
        <w:rPr>
          <w:color w:val="548DD4"/>
        </w:rPr>
        <w:t>, Fachrichtungen, Schwerpunkte. Umfang 1-2 Seiten; kann vor der Einleitung („Deckblatt“) oder als Abschnitt innerhalb der Einleitung verwendet werden.</w:t>
      </w:r>
    </w:p>
    <w:p>
      <w:pPr>
        <w:pStyle w:val="Kommentartext"/>
        <w:rPr>
          <w:rFonts w:ascii="ArialMT" w:eastAsia="Century Gothic" w:hAnsi="ArialMT" w:cs="ArialMT"/>
        </w:rPr>
      </w:pPr>
      <w:r>
        <w:t>Als Instrument zur Förderung der Qualität</w:t>
      </w:r>
      <w:r>
        <w:rPr>
          <w:rStyle w:val="Funotenzeichen"/>
        </w:rPr>
        <w:footnoteReference w:id="1"/>
      </w:r>
      <w:r>
        <w:t xml:space="preserve"> der beruflichen Grundbildung für </w:t>
      </w:r>
      <w:bookmarkStart w:id="4" w:name="OLE_LINK3"/>
      <w:bookmarkStart w:id="5" w:name="OLE_LINK4"/>
      <w:r>
        <w:rPr>
          <w:color w:val="FF0000"/>
        </w:rPr>
        <w:t>[Berufsbezeichnung w]</w:t>
      </w:r>
      <w:r>
        <w:t xml:space="preserve"> und </w:t>
      </w:r>
      <w:r>
        <w:rPr>
          <w:color w:val="FF0000"/>
        </w:rPr>
        <w:t>[Berufsbezeichnung m</w:t>
      </w:r>
      <w:bookmarkEnd w:id="4"/>
      <w:bookmarkEnd w:id="5"/>
      <w:r>
        <w:rPr>
          <w:color w:val="FF0000"/>
        </w:rPr>
        <w:t>]</w:t>
      </w:r>
      <w:r>
        <w:t xml:space="preserve"> mit eidgenössischem </w:t>
      </w:r>
      <w:r>
        <w:rPr>
          <w:color w:val="FF0000"/>
        </w:rPr>
        <w:t xml:space="preserve">[Fähigkeitszeugnis (EFZ)/Berufsattest (EBA] </w:t>
      </w:r>
      <w:r>
        <w:t xml:space="preserve">beschreibt der Bildungsplan die von den Lernenden bis zum Abschluss der Qualifikation zu erwerbenden Handlungskompetenzen. Gleichzeitig unterstützt er </w:t>
      </w:r>
      <w:r>
        <w:rPr>
          <w:rFonts w:ascii="ArialMT" w:eastAsia="Century Gothic" w:hAnsi="ArialMT" w:cs="ArialMT"/>
        </w:rPr>
        <w:t>die Berufsbildungsverantwortlichen in den Lehrbetrieben, Berufsfachschulen und überbetrieblichen Kursen bei der Planung und Durchführung der Ausbildung.</w:t>
      </w:r>
    </w:p>
    <w:p>
      <w:pPr>
        <w:pStyle w:val="Kommentartext"/>
      </w:pPr>
      <w:r>
        <w:t>Für die Lernenden stellt der Bildungsplan eine Orientierungshilfe während der Ausbildung dar.</w:t>
      </w:r>
    </w:p>
    <w:p>
      <w:pPr>
        <w:pStyle w:val="berschrift1"/>
        <w:numPr>
          <w:ilvl w:val="0"/>
          <w:numId w:val="36"/>
        </w:numPr>
        <w:ind w:left="709" w:hanging="709"/>
      </w:pPr>
      <w:r>
        <w:br w:type="page"/>
      </w:r>
      <w:bookmarkStart w:id="6" w:name="_Toc459320420"/>
      <w:bookmarkStart w:id="7" w:name="_Toc143691010"/>
      <w:r>
        <w:lastRenderedPageBreak/>
        <w:t>Berufspädagogische Grundlagen</w:t>
      </w:r>
      <w:bookmarkEnd w:id="6"/>
      <w:bookmarkEnd w:id="7"/>
    </w:p>
    <w:p>
      <w:pPr>
        <w:pStyle w:val="berschrift2"/>
        <w:numPr>
          <w:ilvl w:val="1"/>
          <w:numId w:val="39"/>
        </w:numPr>
        <w:ind w:left="709" w:hanging="709"/>
      </w:pPr>
      <w:bookmarkStart w:id="8" w:name="_Toc459320421"/>
      <w:bookmarkStart w:id="9" w:name="_Toc143691011"/>
      <w:r>
        <w:t>Einführung in die Handlungskompetenzorientierung</w:t>
      </w:r>
      <w:bookmarkEnd w:id="8"/>
      <w:bookmarkEnd w:id="9"/>
    </w:p>
    <w:p>
      <w:r>
        <w:t xml:space="preserve">Der vorliegende Bildungsplan ist die berufspädagogische Grundlage der beruflichen Grundbildung </w:t>
      </w:r>
      <w:r>
        <w:rPr>
          <w:color w:val="FF0000"/>
        </w:rPr>
        <w:t>[Titel w/Titel m]</w:t>
      </w:r>
      <w:r>
        <w:t>. Ziel der beruflichen Grundbildung ist die kompetente Bewältigung von berufstypischen Handlungssituationen. Damit dies gelingt, bauen die Lernenden im Laufe der Ausbildung die in diesem Bildungsplan beschriebenen Handlungskompetenzen auf. Diese sind als Mindeststandards für die Ausbildung zu verstehen und definieren, was in den Qualifikationsverfahren maximal geprüft werden darf.</w:t>
      </w:r>
    </w:p>
    <w:p>
      <w:r>
        <w:t xml:space="preserve">Der Bildungsplan konkretisiert die zu erwerbenden Handlungskompetenzen. Diese werden in Form von Handlungskompetenzbereichen, Handlungskompetenzen und Leistungszielen dargestellt. </w:t>
      </w:r>
    </w:p>
    <w:p>
      <w:pPr>
        <w:spacing w:before="360"/>
        <w:rPr>
          <w:i/>
        </w:rPr>
      </w:pPr>
      <w:r>
        <w:rPr>
          <w:i/>
        </w:rPr>
        <w:t>Darstellung der Handlungskompetenzbereiche, Handlungskompetenzen und Leistungsziele je Lernort:</w:t>
      </w:r>
    </w:p>
    <w:p>
      <w:pPr>
        <w:spacing w:before="240"/>
        <w:rPr>
          <w:i/>
        </w:rPr>
      </w:pPr>
      <w:r>
        <w:rPr>
          <w:noProof/>
        </w:rPr>
        <mc:AlternateContent>
          <mc:Choice Requires="wps">
            <w:drawing>
              <wp:anchor distT="0" distB="0" distL="114300" distR="114300" simplePos="0" relativeHeight="251672064" behindDoc="0" locked="0" layoutInCell="1" allowOverlap="1">
                <wp:simplePos x="0" y="0"/>
                <wp:positionH relativeFrom="column">
                  <wp:posOffset>2388870</wp:posOffset>
                </wp:positionH>
                <wp:positionV relativeFrom="paragraph">
                  <wp:posOffset>3043555</wp:posOffset>
                </wp:positionV>
                <wp:extent cx="437515" cy="990600"/>
                <wp:effectExtent l="0" t="0" r="19685" b="19050"/>
                <wp:wrapNone/>
                <wp:docPr id="24" name="Flussdiagramm: Prozess 24"/>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Flussdiagramm: Prozess 24" o:spid="_x0000_s1027" type="#_x0000_t109" style="position:absolute;margin-left:188.1pt;margin-top:239.65pt;width:34.45pt;height:7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1946275</wp:posOffset>
                </wp:positionH>
                <wp:positionV relativeFrom="paragraph">
                  <wp:posOffset>3043555</wp:posOffset>
                </wp:positionV>
                <wp:extent cx="437515" cy="990600"/>
                <wp:effectExtent l="0" t="0" r="19685" b="19050"/>
                <wp:wrapNone/>
                <wp:docPr id="25" name="Flussdiagramm: Prozess 25"/>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5" o:spid="_x0000_s1028" type="#_x0000_t109" style="position:absolute;margin-left:153.25pt;margin-top:239.65pt;width:34.45pt;height:78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1499870</wp:posOffset>
                </wp:positionH>
                <wp:positionV relativeFrom="paragraph">
                  <wp:posOffset>3043883</wp:posOffset>
                </wp:positionV>
                <wp:extent cx="437515" cy="990600"/>
                <wp:effectExtent l="0" t="0" r="19685" b="19050"/>
                <wp:wrapNone/>
                <wp:docPr id="26" name="Flussdiagramm: Prozess 26"/>
                <wp:cNvGraphicFramePr/>
                <a:graphic xmlns:a="http://schemas.openxmlformats.org/drawingml/2006/main">
                  <a:graphicData uri="http://schemas.microsoft.com/office/word/2010/wordprocessingShape">
                    <wps:wsp>
                      <wps:cNvSpPr/>
                      <wps:spPr>
                        <a:xfrm>
                          <a:off x="0" y="0"/>
                          <a:ext cx="437515"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6" o:spid="_x0000_s1029" type="#_x0000_t109" style="position:absolute;margin-left:118.1pt;margin-top:239.7pt;width:34.45pt;height:78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" fillcolor="#b4c6e7 [1304]" strokecolor="white [3212]" strokeweight="1pt">
                <v:textbox style="layout-flow:vertical;mso-layout-flow-alt:bottom-to-top">
                  <w:txbxContent>
                    <w:p>
                      <w:pPr>
                        <w:spacing w:after="0"/>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916558</wp:posOffset>
                </wp:positionH>
                <wp:positionV relativeFrom="paragraph">
                  <wp:posOffset>3044811</wp:posOffset>
                </wp:positionV>
                <wp:extent cx="438150" cy="990600"/>
                <wp:effectExtent l="0" t="0" r="19050" b="19050"/>
                <wp:wrapNone/>
                <wp:docPr id="15" name="Flussdiagramm: Prozess 15"/>
                <wp:cNvGraphicFramePr/>
                <a:graphic xmlns:a="http://schemas.openxmlformats.org/drawingml/2006/main">
                  <a:graphicData uri="http://schemas.microsoft.com/office/word/2010/wordprocessingShape">
                    <wps:wsp>
                      <wps:cNvSpPr/>
                      <wps:spPr>
                        <a:xfrm>
                          <a:off x="0" y="0"/>
                          <a:ext cx="43815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5" o:spid="_x0000_s1030" type="#_x0000_t109" style="position:absolute;margin-left:72.15pt;margin-top:239.75pt;width:34.5pt;height:7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473839</wp:posOffset>
                </wp:positionH>
                <wp:positionV relativeFrom="paragraph">
                  <wp:posOffset>3044811</wp:posOffset>
                </wp:positionV>
                <wp:extent cx="438150" cy="990600"/>
                <wp:effectExtent l="0" t="0" r="19050" b="19050"/>
                <wp:wrapNone/>
                <wp:docPr id="16" name="Flussdiagramm: Prozess 16"/>
                <wp:cNvGraphicFramePr/>
                <a:graphic xmlns:a="http://schemas.openxmlformats.org/drawingml/2006/main">
                  <a:graphicData uri="http://schemas.microsoft.com/office/word/2010/wordprocessingShape">
                    <wps:wsp>
                      <wps:cNvSpPr/>
                      <wps:spPr>
                        <a:xfrm>
                          <a:off x="0" y="0"/>
                          <a:ext cx="43815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6" o:spid="_x0000_s1031" type="#_x0000_t109" style="position:absolute;margin-left:37.3pt;margin-top:239.75pt;width:34.5pt;height:78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" fillcolor="#b4c6e7 [1304]" strokecolor="white [3212]" strokeweight="1pt">
                <v:textbox style="layout-flow:vertical;mso-layout-flow-alt:bottom-to-top">
                  <w:txbxContent>
                    <w:p>
                      <w:pPr>
                        <w:spacing w:after="0"/>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v:textbox>
              </v:shape>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26983</wp:posOffset>
                </wp:positionH>
                <wp:positionV relativeFrom="paragraph">
                  <wp:posOffset>3044811</wp:posOffset>
                </wp:positionV>
                <wp:extent cx="438150" cy="990600"/>
                <wp:effectExtent l="0" t="0" r="19050" b="19050"/>
                <wp:wrapNone/>
                <wp:docPr id="17" name="Flussdiagramm: Prozess 17"/>
                <wp:cNvGraphicFramePr/>
                <a:graphic xmlns:a="http://schemas.openxmlformats.org/drawingml/2006/main">
                  <a:graphicData uri="http://schemas.microsoft.com/office/word/2010/wordprocessingShape">
                    <wps:wsp>
                      <wps:cNvSpPr/>
                      <wps:spPr>
                        <a:xfrm>
                          <a:off x="0" y="0"/>
                          <a:ext cx="43815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17" o:spid="_x0000_s1032" type="#_x0000_t109" style="position:absolute;margin-left:2.1pt;margin-top:239.75pt;width:34.5pt;height:7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" fillcolor="#b4c6e7 [1304]" strokecolor="white [3212]" strokeweight="1pt">
                <v:textbox style="layout-flow:vertical;mso-layout-flow-alt:bottom-to-top">
                  <w:txbxContent>
                    <w:p>
                      <w:pPr>
                        <w:spacing w:after="0"/>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v:textbox>
              </v:shape>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5347496</wp:posOffset>
                </wp:positionH>
                <wp:positionV relativeFrom="paragraph">
                  <wp:posOffset>3040673</wp:posOffset>
                </wp:positionV>
                <wp:extent cx="437960" cy="990600"/>
                <wp:effectExtent l="0" t="0" r="19685" b="19050"/>
                <wp:wrapNone/>
                <wp:docPr id="20" name="Flussdiagramm: Prozess 20"/>
                <wp:cNvGraphicFramePr/>
                <a:graphic xmlns:a="http://schemas.openxmlformats.org/drawingml/2006/main">
                  <a:graphicData uri="http://schemas.microsoft.com/office/word/2010/wordprocessingShape">
                    <wps:wsp>
                      <wps:cNvSpPr/>
                      <wps:spPr>
                        <a:xfrm>
                          <a:off x="0" y="0"/>
                          <a:ext cx="43796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0" o:spid="_x0000_s1033" type="#_x0000_t109" style="position:absolute;margin-left:421.05pt;margin-top:239.4pt;width:34.5pt;height:78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4904968</wp:posOffset>
                </wp:positionH>
                <wp:positionV relativeFrom="paragraph">
                  <wp:posOffset>3040673</wp:posOffset>
                </wp:positionV>
                <wp:extent cx="437960" cy="990600"/>
                <wp:effectExtent l="0" t="0" r="19685" b="19050"/>
                <wp:wrapNone/>
                <wp:docPr id="21" name="Flussdiagramm: Prozess 21"/>
                <wp:cNvGraphicFramePr/>
                <a:graphic xmlns:a="http://schemas.openxmlformats.org/drawingml/2006/main">
                  <a:graphicData uri="http://schemas.microsoft.com/office/word/2010/wordprocessingShape">
                    <wps:wsp>
                      <wps:cNvSpPr/>
                      <wps:spPr>
                        <a:xfrm>
                          <a:off x="0" y="0"/>
                          <a:ext cx="43796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1" o:spid="_x0000_s1034" type="#_x0000_t109" style="position:absolute;margin-left:386.2pt;margin-top:239.4pt;width:34.5pt;height:7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4458306</wp:posOffset>
                </wp:positionH>
                <wp:positionV relativeFrom="paragraph">
                  <wp:posOffset>3040673</wp:posOffset>
                </wp:positionV>
                <wp:extent cx="437960" cy="990600"/>
                <wp:effectExtent l="0" t="0" r="19685" b="19050"/>
                <wp:wrapNone/>
                <wp:docPr id="22" name="Flussdiagramm: Prozess 22"/>
                <wp:cNvGraphicFramePr/>
                <a:graphic xmlns:a="http://schemas.openxmlformats.org/drawingml/2006/main">
                  <a:graphicData uri="http://schemas.microsoft.com/office/word/2010/wordprocessingShape">
                    <wps:wsp>
                      <wps:cNvSpPr/>
                      <wps:spPr>
                        <a:xfrm>
                          <a:off x="0" y="0"/>
                          <a:ext cx="43796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2" o:spid="_x0000_s1035" type="#_x0000_t109" style="position:absolute;margin-left:351.05pt;margin-top:239.4pt;width:34.5pt;height:7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3870389</wp:posOffset>
                </wp:positionH>
                <wp:positionV relativeFrom="paragraph">
                  <wp:posOffset>3044811</wp:posOffset>
                </wp:positionV>
                <wp:extent cx="437960" cy="990600"/>
                <wp:effectExtent l="0" t="0" r="19685" b="19050"/>
                <wp:wrapNone/>
                <wp:docPr id="28" name="Flussdiagramm: Prozess 28"/>
                <wp:cNvGraphicFramePr/>
                <a:graphic xmlns:a="http://schemas.openxmlformats.org/drawingml/2006/main">
                  <a:graphicData uri="http://schemas.microsoft.com/office/word/2010/wordprocessingShape">
                    <wps:wsp>
                      <wps:cNvSpPr/>
                      <wps:spPr>
                        <a:xfrm>
                          <a:off x="0" y="0"/>
                          <a:ext cx="43796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8" o:spid="_x0000_s1036" type="#_x0000_t109" style="position:absolute;margin-left:304.75pt;margin-top:239.75pt;width:34.5pt;height:7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Überbetriebliche Kurse</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3427861</wp:posOffset>
                </wp:positionH>
                <wp:positionV relativeFrom="paragraph">
                  <wp:posOffset>3044811</wp:posOffset>
                </wp:positionV>
                <wp:extent cx="437960" cy="990600"/>
                <wp:effectExtent l="0" t="0" r="19685" b="19050"/>
                <wp:wrapNone/>
                <wp:docPr id="29" name="Flussdiagramm: Prozess 29"/>
                <wp:cNvGraphicFramePr/>
                <a:graphic xmlns:a="http://schemas.openxmlformats.org/drawingml/2006/main">
                  <a:graphicData uri="http://schemas.microsoft.com/office/word/2010/wordprocessingShape">
                    <wps:wsp>
                      <wps:cNvSpPr/>
                      <wps:spPr>
                        <a:xfrm>
                          <a:off x="0" y="0"/>
                          <a:ext cx="43796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29" o:spid="_x0000_s1037" type="#_x0000_t109" style="position:absolute;margin-left:269.9pt;margin-top:239.75pt;width:34.5pt;height:7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Berufsfachschule</w:t>
                      </w:r>
                    </w:p>
                  </w:txbxContent>
                </v:textbox>
              </v:shape>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2981199</wp:posOffset>
                </wp:positionH>
                <wp:positionV relativeFrom="paragraph">
                  <wp:posOffset>3044811</wp:posOffset>
                </wp:positionV>
                <wp:extent cx="437960" cy="990600"/>
                <wp:effectExtent l="0" t="0" r="19685" b="19050"/>
                <wp:wrapNone/>
                <wp:docPr id="30" name="Flussdiagramm: Prozess 30"/>
                <wp:cNvGraphicFramePr/>
                <a:graphic xmlns:a="http://schemas.openxmlformats.org/drawingml/2006/main">
                  <a:graphicData uri="http://schemas.microsoft.com/office/word/2010/wordprocessingShape">
                    <wps:wsp>
                      <wps:cNvSpPr/>
                      <wps:spPr>
                        <a:xfrm>
                          <a:off x="0" y="0"/>
                          <a:ext cx="437960" cy="990600"/>
                        </a:xfrm>
                        <a:prstGeom prst="flowChartProcess">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ussdiagramm: Prozess 30" o:spid="_x0000_s1038" type="#_x0000_t109" style="position:absolute;margin-left:234.75pt;margin-top:239.75pt;width:34.5pt;height:78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" fillcolor="#b4c6e7 [1304]" strokecolor="white [3212]" strokeweight="1pt">
                <v:textbox style="layout-flow:vertical;mso-layout-flow-alt:bottom-to-top">
                  <w:txbxContent>
                    <w:p>
                      <w:pPr>
                        <w:spacing w:after="0" w:line="200" w:lineRule="exact"/>
                        <w:jc w:val="center"/>
                        <w:rPr>
                          <w:rFonts w:asciiTheme="minorHAnsi" w:hAnsiTheme="minorHAnsi" w:cstheme="minorHAnsi"/>
                          <w:color w:val="1F4E79" w:themeColor="accent1" w:themeShade="80"/>
                          <w:sz w:val="18"/>
                          <w:szCs w:val="18"/>
                        </w:rPr>
                      </w:pPr>
                      <w:r>
                        <w:rPr>
                          <w:rFonts w:asciiTheme="minorHAnsi" w:hAnsiTheme="minorHAnsi" w:cstheme="minorHAnsi"/>
                          <w:color w:val="1F4E79" w:themeColor="accent1" w:themeShade="80"/>
                          <w:sz w:val="18"/>
                          <w:szCs w:val="18"/>
                        </w:rPr>
                        <w:t>Betrieb</w:t>
                      </w:r>
                    </w:p>
                  </w:txbxContent>
                </v:textbox>
              </v:shape>
            </w:pict>
          </mc:Fallback>
        </mc:AlternateContent>
      </w:r>
      <w:r>
        <w:rPr>
          <w:noProof/>
        </w:rPr>
        <w:drawing>
          <wp:inline distT="0" distB="0" distL="0" distR="0">
            <wp:extent cx="5819610" cy="2952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6026"/>
                    <a:stretch/>
                  </pic:blipFill>
                  <pic:spPr bwMode="auto">
                    <a:xfrm>
                      <a:off x="0" y="0"/>
                      <a:ext cx="5827433" cy="2956719"/>
                    </a:xfrm>
                    <a:prstGeom prst="rect">
                      <a:avLst/>
                    </a:prstGeom>
                    <a:ln>
                      <a:noFill/>
                    </a:ln>
                    <a:extLst>
                      <a:ext uri="{53640926-AAD7-44D8-BBD7-CCE9431645EC}">
                        <a14:shadowObscured xmlns:a14="http://schemas.microsoft.com/office/drawing/2010/main"/>
                      </a:ext>
                    </a:extLst>
                  </pic:spPr>
                </pic:pic>
              </a:graphicData>
            </a:graphic>
          </wp:inline>
        </w:drawing>
      </w:r>
    </w:p>
    <w:p>
      <w:pPr>
        <w:spacing w:before="240"/>
        <w:rPr>
          <w:i/>
        </w:rPr>
      </w:pPr>
    </w:p>
    <w:p>
      <w:pPr>
        <w:spacing w:before="240"/>
        <w:rPr>
          <w:i/>
        </w:rPr>
      </w:pPr>
    </w:p>
    <w:p>
      <w:pPr>
        <w:spacing w:before="240"/>
        <w:rPr>
          <w:i/>
        </w:rPr>
      </w:pPr>
    </w:p>
    <w:p>
      <w:pPr>
        <w:spacing w:before="240"/>
      </w:pPr>
      <w:r>
        <w:t xml:space="preserve">Der Beruf </w:t>
      </w:r>
      <w:r>
        <w:rPr>
          <w:color w:val="FF0000"/>
        </w:rPr>
        <w:t xml:space="preserve">[Titel w/Titel m] </w:t>
      </w:r>
      <w:r>
        <w:t xml:space="preserve">umfasst </w:t>
      </w:r>
      <w:r>
        <w:rPr>
          <w:color w:val="FF0000"/>
        </w:rPr>
        <w:t xml:space="preserve">[Zahlwort] </w:t>
      </w:r>
      <w:r>
        <w:rPr>
          <w:b/>
        </w:rPr>
        <w:t>Handlungskompetenzbereiche.</w:t>
      </w:r>
      <w:r>
        <w:t xml:space="preserve"> Diese umschreiben und begründen die Handlungsfelder des Berufes und grenzen sie voneinander ab. </w:t>
      </w:r>
    </w:p>
    <w:p>
      <w:pPr>
        <w:rPr>
          <w:color w:val="FF0000"/>
        </w:rPr>
      </w:pPr>
      <w:r>
        <w:t xml:space="preserve">Beispiel: </w:t>
      </w:r>
      <w:r>
        <w:rPr>
          <w:color w:val="FF0000"/>
        </w:rPr>
        <w:t>(Beispieltext eines Handlungskompetenzbereichs des Berufs einfügen)</w:t>
      </w:r>
    </w:p>
    <w:p>
      <w:r>
        <w:t xml:space="preserve">Jeder Handlungskompetenzbereich umfasst eine bestimmte Anzahl </w:t>
      </w:r>
      <w:r>
        <w:rPr>
          <w:b/>
        </w:rPr>
        <w:t>Handlungskompetenzen</w:t>
      </w:r>
      <w:r>
        <w:t xml:space="preserve">. So sind im Handlungskompetenzbereich </w:t>
      </w:r>
      <w:r>
        <w:rPr>
          <w:color w:val="FF0000"/>
        </w:rPr>
        <w:t xml:space="preserve">[Nummer und Benennung] [Zahl] </w:t>
      </w:r>
      <w:r>
        <w:t xml:space="preserve">Handlungskompetenzen gruppiert. Diese entsprechen typischen beruflichen Handlungssituationen. Beschrieben wird das erwartete Verhalten, das die Lernenden in dieser Situation zeigen sollen. Jede Handlungskompetenz beinhaltet die vier Dimensionen Fach-, Methoden-, Selbst- und Sozialkompetenz (siehe 2.2); diese werden </w:t>
      </w:r>
      <w:r>
        <w:rPr>
          <w:color w:val="FF0000"/>
        </w:rPr>
        <w:t>[in die Leistungsziele integriert/den Handlungskompetenzen zugeordnet]</w:t>
      </w:r>
      <w:r>
        <w:t xml:space="preserve">. </w:t>
      </w:r>
    </w:p>
    <w:p>
      <w:r>
        <w:t xml:space="preserve">Damit sichergestellt ist, dass der Lehrbetrieb, die Berufsfachschule sowie die überbetrieblichen Kurse ihren entsprechenden Beitrag zur Entwicklung der jeweiligen Handlungskompetenz leisten, werden die Handlungskompetenzen durch </w:t>
      </w:r>
      <w:r>
        <w:rPr>
          <w:b/>
        </w:rPr>
        <w:t>Leistungsziele je Lernort</w:t>
      </w:r>
      <w:r>
        <w:t xml:space="preserve"> konkretisiert. Mit Blick auf eine optimale Lernortkooperation sind die Leistungsziele untereinander abgestimmt (siehe 2.4).</w:t>
      </w:r>
    </w:p>
    <w:p>
      <w:pPr>
        <w:pStyle w:val="berschrift2"/>
        <w:numPr>
          <w:ilvl w:val="1"/>
          <w:numId w:val="39"/>
        </w:numPr>
        <w:ind w:left="567" w:hanging="567"/>
      </w:pPr>
      <w:r>
        <w:br w:type="page"/>
      </w:r>
      <w:bookmarkStart w:id="10" w:name="_Toc459320422"/>
      <w:bookmarkStart w:id="11" w:name="_Toc143691012"/>
      <w:r>
        <w:lastRenderedPageBreak/>
        <w:t>Überblick der vier Dimensionen einer Handlungskompetenz</w:t>
      </w:r>
      <w:bookmarkEnd w:id="10"/>
      <w:bookmarkEnd w:id="11"/>
    </w:p>
    <w:p>
      <w:pPr>
        <w:rPr>
          <w:rFonts w:cs="Arial"/>
          <w:bCs/>
          <w:color w:val="000000"/>
        </w:rPr>
      </w:pPr>
      <w:r>
        <w:t xml:space="preserve">Handlungskompetenzen umfassen </w:t>
      </w:r>
      <w:r>
        <w:rPr>
          <w:rFonts w:cs="Arial"/>
          <w:bCs/>
        </w:rPr>
        <w:t xml:space="preserve">Fach-, Methoden-, Sozial- und Selbstkompetenzen. Damit </w:t>
      </w:r>
      <w:r>
        <w:rPr>
          <w:rFonts w:cs="Arial"/>
          <w:bCs/>
          <w:color w:val="FF0000"/>
        </w:rPr>
        <w:t xml:space="preserve">[Titel w/Titel m] </w:t>
      </w:r>
      <w:r>
        <w:rPr>
          <w:rFonts w:cs="Arial"/>
          <w:bCs/>
        </w:rPr>
        <w:t xml:space="preserve">im Arbeitsmarkt bestehen, </w:t>
      </w:r>
      <w:r>
        <w:rPr>
          <w:rFonts w:cs="Arial"/>
          <w:bCs/>
          <w:color w:val="000000"/>
        </w:rPr>
        <w:t xml:space="preserve">werden die angehenden Berufsleute im Laufe der beruflichen Grundbildung diese Kompetenzen integral und an allen Lernorten (Lehrbetrieb, Berufsfachschule, überbetriebliche Kurse) erwerben. </w:t>
      </w:r>
      <w:r>
        <w:t>Die folgende Darstellung zeigt den Inhalt und das Zusammenspiel der vier Dimensionen einer Handlungskompetenz im Überblick.</w:t>
      </w:r>
    </w:p>
    <w:p>
      <w:pPr>
        <w:rPr>
          <w:rFonts w:cs="Arial"/>
          <w:b/>
          <w:bCs/>
          <w:sz w:val="22"/>
          <w:szCs w:val="22"/>
        </w:rPr>
      </w:pPr>
      <w:r>
        <w:rPr>
          <w:noProof/>
        </w:rPr>
        <mc:AlternateContent>
          <mc:Choice Requires="wps">
            <w:drawing>
              <wp:anchor distT="0" distB="0" distL="114300" distR="114300" simplePos="0" relativeHeight="251645440" behindDoc="0" locked="0" layoutInCell="1" allowOverlap="1">
                <wp:simplePos x="0" y="0"/>
                <wp:positionH relativeFrom="column">
                  <wp:posOffset>1945640</wp:posOffset>
                </wp:positionH>
                <wp:positionV relativeFrom="paragraph">
                  <wp:posOffset>2437130</wp:posOffset>
                </wp:positionV>
                <wp:extent cx="3566795" cy="105537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105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rPr>
                                <w:sz w:val="16"/>
                              </w:rPr>
                            </w:pPr>
                            <w:r>
                              <w:rPr>
                                <w:color w:val="FF0000"/>
                                <w:sz w:val="16"/>
                              </w:rPr>
                              <w:t>[</w:t>
                            </w:r>
                            <w:r>
                              <w:rPr>
                                <w:color w:val="FF0000"/>
                                <w:sz w:val="16"/>
                              </w:rPr>
                              <w:t>Titel w/Titel m</w:t>
                            </w:r>
                            <w:r>
                              <w:rPr>
                                <w:color w:val="FF0000"/>
                                <w:sz w:val="16"/>
                              </w:rPr>
                              <w:t>]</w:t>
                            </w:r>
                            <w:r>
                              <w:rPr>
                                <w:sz w:val="16"/>
                              </w:rPr>
                              <w:t xml:space="preserve"> gestalten ihre Beziehungen zur vorgesetzten Person, im Team und mit der Kundschaft bewusst und gehen mit Herausforderungen in Kommunikations- und Konfliktsituationen konstruktiv um. </w:t>
                            </w:r>
                            <w:r>
                              <w:rPr>
                                <w:b/>
                                <w:sz w:val="16"/>
                              </w:rPr>
                              <w:t>Sie arbeiten in oder mit Gruppen und wenden dabei die Regeln für eine erfolgreiche Teamarbeit an.</w:t>
                            </w:r>
                            <w:r>
                              <w:rPr>
                                <w:sz w:val="16"/>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9" type="#_x0000_t202" style="position:absolute;margin-left:153.2pt;margin-top:191.9pt;width:280.85pt;height:83.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" filled="f" stroked="f">
                <v:textbox inset=",7.2pt,,7.2pt">
                  <w:txbxContent>
                    <w:p>
                      <w:pPr>
                        <w:spacing w:after="0"/>
                        <w:rPr>
                          <w:sz w:val="16"/>
                        </w:rPr>
                      </w:pPr>
                      <w:r>
                        <w:rPr>
                          <w:color w:val="FF0000"/>
                          <w:sz w:val="16"/>
                        </w:rPr>
                        <w:t>[</w:t>
                      </w:r>
                      <w:r>
                        <w:rPr>
                          <w:color w:val="FF0000"/>
                          <w:sz w:val="16"/>
                        </w:rPr>
                        <w:t>Titel w/Titel m</w:t>
                      </w:r>
                      <w:r>
                        <w:rPr>
                          <w:color w:val="FF0000"/>
                          <w:sz w:val="16"/>
                        </w:rPr>
                        <w:t>]</w:t>
                      </w:r>
                      <w:r>
                        <w:rPr>
                          <w:sz w:val="16"/>
                        </w:rPr>
                        <w:t xml:space="preserve"> gestalten ihre Beziehungen zur vorgesetzten Person, im Team und mit der Kundschaft bewusst und gehen mit Herausforderungen in Kommunikations- und Konfliktsituationen konstruktiv um. </w:t>
                      </w:r>
                      <w:r>
                        <w:rPr>
                          <w:b/>
                          <w:sz w:val="16"/>
                        </w:rPr>
                        <w:t>Sie arbeiten in oder mit Gruppen und wenden dabei die Regeln für eine erfolgreiche Teamarbeit an.</w:t>
                      </w:r>
                      <w:r>
                        <w:rPr>
                          <w:sz w:val="16"/>
                        </w:rPr>
                        <w:t xml:space="preserve"> </w:t>
                      </w:r>
                    </w:p>
                  </w:txbxContent>
                </v:textbox>
              </v:shape>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1945640</wp:posOffset>
                </wp:positionH>
                <wp:positionV relativeFrom="paragraph">
                  <wp:posOffset>3445510</wp:posOffset>
                </wp:positionV>
                <wp:extent cx="3566795" cy="94805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948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rPr>
                                <w:sz w:val="16"/>
                              </w:rPr>
                            </w:pPr>
                            <w:r>
                              <w:rPr>
                                <w:color w:val="FF0000"/>
                                <w:sz w:val="16"/>
                              </w:rPr>
                              <w:t>[</w:t>
                            </w:r>
                            <w:r>
                              <w:rPr>
                                <w:color w:val="FF0000"/>
                                <w:sz w:val="16"/>
                              </w:rPr>
                              <w:t>Titel w/Titel m</w:t>
                            </w:r>
                            <w:r>
                              <w:rPr>
                                <w:color w:val="FF0000"/>
                                <w:sz w:val="16"/>
                              </w:rPr>
                              <w:t>]</w:t>
                            </w:r>
                            <w:r>
                              <w:rPr>
                                <w:sz w:val="16"/>
                              </w:rPr>
                              <w:t xml:space="preserve"> reflektieren ihr Denken und Handeln eigenverantwortlich. Sie sind bezüglich Veränderungen flexibel, lernen aus den Grenzen der Belastbarkeit und entwickeln ihre Persönlichkeit weiter. Sie sind leistungsbereit, zeichnen sich durch ihre gute Arbeitshaltung aus und bilden sich lebenslang weiter.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0" type="#_x0000_t202" style="position:absolute;margin-left:153.2pt;margin-top:271.3pt;width:280.85pt;height:74.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" filled="f" stroked="f">
                <v:textbox inset=",7.2pt,,7.2pt">
                  <w:txbxContent>
                    <w:p>
                      <w:pPr>
                        <w:spacing w:after="0"/>
                        <w:rPr>
                          <w:sz w:val="16"/>
                        </w:rPr>
                      </w:pPr>
                      <w:r>
                        <w:rPr>
                          <w:color w:val="FF0000"/>
                          <w:sz w:val="16"/>
                        </w:rPr>
                        <w:t>[</w:t>
                      </w:r>
                      <w:r>
                        <w:rPr>
                          <w:color w:val="FF0000"/>
                          <w:sz w:val="16"/>
                        </w:rPr>
                        <w:t>Titel w/Titel m</w:t>
                      </w:r>
                      <w:r>
                        <w:rPr>
                          <w:color w:val="FF0000"/>
                          <w:sz w:val="16"/>
                        </w:rPr>
                        <w:t>]</w:t>
                      </w:r>
                      <w:r>
                        <w:rPr>
                          <w:sz w:val="16"/>
                        </w:rPr>
                        <w:t xml:space="preserve"> reflektieren ihr Denken und Handeln eigenverantwortlich. Sie sind bezüglich Veränderungen flexibel, lernen aus den Grenzen der Belastbarkeit und entwickeln ihre Persönlichkeit weiter. Sie sind leistungsbereit, zeichnen sich durch ihre gute Arbeitshaltung aus und bilden sich lebenslang weiter.</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1931035</wp:posOffset>
                </wp:positionH>
                <wp:positionV relativeFrom="paragraph">
                  <wp:posOffset>1408430</wp:posOffset>
                </wp:positionV>
                <wp:extent cx="3581400" cy="98171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rPr>
                                <w:sz w:val="16"/>
                              </w:rPr>
                            </w:pPr>
                            <w:r>
                              <w:rPr>
                                <w:color w:val="FF0000"/>
                                <w:sz w:val="16"/>
                              </w:rPr>
                              <w:t>[</w:t>
                            </w:r>
                            <w:r>
                              <w:rPr>
                                <w:color w:val="FF0000"/>
                                <w:sz w:val="16"/>
                              </w:rPr>
                              <w:t>Titel w/Titel m</w:t>
                            </w:r>
                            <w:r>
                              <w:rPr>
                                <w:color w:val="FF0000"/>
                                <w:sz w:val="16"/>
                              </w:rPr>
                              <w:t>]</w:t>
                            </w:r>
                            <w:r>
                              <w:rPr>
                                <w:sz w:val="16"/>
                              </w:rPr>
                              <w:t xml:space="preserve"> organisieren ihre Arbeit sorgfältig und qualitätsbewusst. Dabei beachten sie wirtschaftliche und ökologische Aspekte und wenden die berufsspezifischen Arbeitstechniken, Lern-, Informations- und Kommunikationsstrategien zielorientiert an. Zudem denken und handeln sie prozessorientiert und vernetzt.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152.05pt;margin-top:110.9pt;width:282pt;height:77.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" filled="f" stroked="f">
                <v:textbox inset=",7.2pt,,7.2pt">
                  <w:txbxContent>
                    <w:p>
                      <w:pPr>
                        <w:spacing w:after="0"/>
                        <w:rPr>
                          <w:sz w:val="16"/>
                        </w:rPr>
                      </w:pPr>
                      <w:r>
                        <w:rPr>
                          <w:color w:val="FF0000"/>
                          <w:sz w:val="16"/>
                        </w:rPr>
                        <w:t>[</w:t>
                      </w:r>
                      <w:r>
                        <w:rPr>
                          <w:color w:val="FF0000"/>
                          <w:sz w:val="16"/>
                        </w:rPr>
                        <w:t>Titel w/Titel m</w:t>
                      </w:r>
                      <w:r>
                        <w:rPr>
                          <w:color w:val="FF0000"/>
                          <w:sz w:val="16"/>
                        </w:rPr>
                        <w:t>]</w:t>
                      </w:r>
                      <w:r>
                        <w:rPr>
                          <w:sz w:val="16"/>
                        </w:rPr>
                        <w:t xml:space="preserve"> organisieren ihre Arbeit sorgfältig und qualitätsbewusst. Dabei beachten sie wirtschaftliche und ökologische Aspekte und wenden die berufsspezifischen Arbeitstechniken, Lern-, Informations- und Kommunikationsstrategien zielorientiert an. Zudem denken und handeln sie prozessorientiert und vernetzt.</w:t>
                      </w:r>
                    </w:p>
                  </w:txbxContent>
                </v:textbox>
              </v:shape>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1931035</wp:posOffset>
                </wp:positionH>
                <wp:positionV relativeFrom="paragraph">
                  <wp:posOffset>445135</wp:posOffset>
                </wp:positionV>
                <wp:extent cx="3558540" cy="9632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rPr>
                                <w:sz w:val="16"/>
                              </w:rPr>
                            </w:pPr>
                            <w:r>
                              <w:rPr>
                                <w:color w:val="FF0000"/>
                                <w:sz w:val="16"/>
                              </w:rPr>
                              <w:t>[</w:t>
                            </w:r>
                            <w:r>
                              <w:rPr>
                                <w:color w:val="FF0000"/>
                                <w:sz w:val="16"/>
                              </w:rPr>
                              <w:t>Titel w/Titel m</w:t>
                            </w:r>
                            <w:r>
                              <w:rPr>
                                <w:color w:val="FF0000"/>
                                <w:sz w:val="16"/>
                              </w:rPr>
                              <w:t>]</w:t>
                            </w:r>
                            <w:r>
                              <w:rPr>
                                <w:sz w:val="16"/>
                              </w:rPr>
                              <w:t xml:space="preserve"> wenden die berufsspezifische Fachsprache und die (</w:t>
                            </w:r>
                            <w:proofErr w:type="spellStart"/>
                            <w:r>
                              <w:rPr>
                                <w:sz w:val="16"/>
                              </w:rPr>
                              <w:t>Qualitäts</w:t>
                            </w:r>
                            <w:proofErr w:type="spellEnd"/>
                            <w:r>
                              <w:rPr>
                                <w:sz w:val="16"/>
                              </w:rPr>
                              <w:t>)Standards sowie Methoden, Verfahren, Arbeitsmittel und Materialien fachgerecht an. Das heisst sie sind fähig, fachliche Aufgaben in ihrem Berufsfeld eigenständig zu bewältigen und auf berufliche Anforderungen angemessen zu reagieren.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152.05pt;margin-top:35.05pt;width:280.2pt;height:75.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" filled="f" stroked="f">
                <v:textbox inset=",7.2pt,,7.2pt">
                  <w:txbxContent>
                    <w:p>
                      <w:pPr>
                        <w:spacing w:after="0"/>
                        <w:rPr>
                          <w:sz w:val="16"/>
                        </w:rPr>
                      </w:pPr>
                      <w:r>
                        <w:rPr>
                          <w:color w:val="FF0000"/>
                          <w:sz w:val="16"/>
                        </w:rPr>
                        <w:t>[</w:t>
                      </w:r>
                      <w:r>
                        <w:rPr>
                          <w:color w:val="FF0000"/>
                          <w:sz w:val="16"/>
                        </w:rPr>
                        <w:t>Titel w/Titel m</w:t>
                      </w:r>
                      <w:r>
                        <w:rPr>
                          <w:color w:val="FF0000"/>
                          <w:sz w:val="16"/>
                        </w:rPr>
                        <w:t>]</w:t>
                      </w:r>
                      <w:r>
                        <w:rPr>
                          <w:sz w:val="16"/>
                        </w:rPr>
                        <w:t xml:space="preserve"> wenden die berufsspezifische Fachsprache und die (</w:t>
                      </w:r>
                      <w:proofErr w:type="spellStart"/>
                      <w:r>
                        <w:rPr>
                          <w:sz w:val="16"/>
                        </w:rPr>
                        <w:t>Qualitäts</w:t>
                      </w:r>
                      <w:proofErr w:type="spellEnd"/>
                      <w:r>
                        <w:rPr>
                          <w:sz w:val="16"/>
                        </w:rPr>
                        <w:t>)Standards sowie Methoden, Verfahren, Arbeitsmittel und Materialien fachgerecht an. Das heisst sie sind fähig, fachliche Aufgaben in ihrem Berufsfeld eigenständig zu bewältigen und auf berufliche Anforderungen angemessen zu reagieren.</w:t>
                      </w:r>
                    </w:p>
                  </w:txbxContent>
                </v:textbox>
              </v:shape>
            </w:pict>
          </mc:Fallback>
        </mc:AlternateContent>
      </w:r>
      <w:r>
        <w:rPr>
          <w:rFonts w:cs="Arial"/>
          <w:noProof/>
          <w:sz w:val="16"/>
          <w:szCs w:val="16"/>
        </w:rPr>
        <w:drawing>
          <wp:inline distT="0" distB="0" distL="0" distR="0">
            <wp:extent cx="5651500" cy="4305300"/>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500" cy="4305300"/>
                    </a:xfrm>
                    <a:prstGeom prst="rect">
                      <a:avLst/>
                    </a:prstGeom>
                    <a:noFill/>
                    <a:ln>
                      <a:noFill/>
                    </a:ln>
                  </pic:spPr>
                </pic:pic>
              </a:graphicData>
            </a:graphic>
          </wp:inline>
        </w:drawing>
      </w:r>
    </w:p>
    <w:p>
      <w:pPr>
        <w:pStyle w:val="berschrift2"/>
        <w:numPr>
          <w:ilvl w:val="1"/>
          <w:numId w:val="39"/>
        </w:numPr>
        <w:ind w:left="567" w:hanging="567"/>
      </w:pPr>
      <w:bookmarkStart w:id="12" w:name="_Toc459320423"/>
      <w:bookmarkStart w:id="13" w:name="_Toc143691013"/>
      <w:proofErr w:type="spellStart"/>
      <w:r>
        <w:t>Taxonomiestufen</w:t>
      </w:r>
      <w:proofErr w:type="spellEnd"/>
      <w:r>
        <w:t xml:space="preserve"> für Leistungsziele </w:t>
      </w:r>
      <w:r>
        <w:rPr>
          <w:b w:val="0"/>
          <w:sz w:val="20"/>
          <w:szCs w:val="20"/>
        </w:rPr>
        <w:t>(nach Bloom)</w:t>
      </w:r>
      <w:bookmarkEnd w:id="12"/>
      <w:bookmarkEnd w:id="13"/>
    </w:p>
    <w:p>
      <w:pPr>
        <w:rPr>
          <w:rFonts w:cs="Arial"/>
          <w:lang w:val="de-DE" w:eastAsia="de-DE"/>
        </w:rPr>
      </w:pPr>
      <w:r>
        <w:rPr>
          <w:rFonts w:cs="Arial"/>
        </w:rPr>
        <w:t xml:space="preserve">Jedes Leistungsziel wird mit einer </w:t>
      </w:r>
      <w:proofErr w:type="spellStart"/>
      <w:r>
        <w:rPr>
          <w:rFonts w:cs="Arial"/>
        </w:rPr>
        <w:t>Taxonomiestufe</w:t>
      </w:r>
      <w:proofErr w:type="spellEnd"/>
      <w:r>
        <w:rPr>
          <w:rFonts w:cs="Arial"/>
        </w:rPr>
        <w:t xml:space="preserve"> (K-Stufe; </w:t>
      </w:r>
      <w:proofErr w:type="spellStart"/>
      <w:r>
        <w:rPr>
          <w:rFonts w:cs="Arial"/>
        </w:rPr>
        <w:t>K1</w:t>
      </w:r>
      <w:proofErr w:type="spellEnd"/>
      <w:r>
        <w:rPr>
          <w:rFonts w:cs="Arial"/>
        </w:rPr>
        <w:t xml:space="preserve"> bis K6) bewertet. Die K-Stufe drückt die Komplexität des Leistungsziels aus. Im Einzelnen bedeuten sie:</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949"/>
        <w:gridCol w:w="7725"/>
      </w:tblGrid>
      <w:tr>
        <w:trPr>
          <w:trHeight w:val="255"/>
        </w:trPr>
        <w:tc>
          <w:tcPr>
            <w:tcW w:w="700" w:type="dxa"/>
            <w:shd w:val="clear" w:color="auto" w:fill="D2D2D2"/>
          </w:tcPr>
          <w:p>
            <w:pPr>
              <w:autoSpaceDE w:val="0"/>
              <w:autoSpaceDN w:val="0"/>
              <w:adjustRightInd w:val="0"/>
              <w:spacing w:before="60" w:after="60"/>
              <w:rPr>
                <w:rFonts w:cs="Arial"/>
                <w:b/>
                <w:sz w:val="18"/>
                <w:szCs w:val="18"/>
              </w:rPr>
            </w:pPr>
            <w:r>
              <w:rPr>
                <w:rFonts w:cs="Arial"/>
                <w:b/>
                <w:sz w:val="18"/>
                <w:szCs w:val="18"/>
              </w:rPr>
              <w:t>Stufen</w:t>
            </w:r>
          </w:p>
        </w:tc>
        <w:tc>
          <w:tcPr>
            <w:tcW w:w="949" w:type="dxa"/>
            <w:shd w:val="clear" w:color="auto" w:fill="D2D2D2"/>
          </w:tcPr>
          <w:p>
            <w:pPr>
              <w:autoSpaceDE w:val="0"/>
              <w:autoSpaceDN w:val="0"/>
              <w:adjustRightInd w:val="0"/>
              <w:spacing w:before="60" w:after="60"/>
              <w:rPr>
                <w:rFonts w:cs="Arial"/>
                <w:b/>
                <w:sz w:val="18"/>
                <w:szCs w:val="18"/>
              </w:rPr>
            </w:pPr>
            <w:r>
              <w:rPr>
                <w:rFonts w:cs="Arial"/>
                <w:b/>
                <w:sz w:val="18"/>
                <w:szCs w:val="18"/>
              </w:rPr>
              <w:t>Begriff</w:t>
            </w:r>
          </w:p>
        </w:tc>
        <w:tc>
          <w:tcPr>
            <w:tcW w:w="7725" w:type="dxa"/>
            <w:shd w:val="clear" w:color="auto" w:fill="D2D2D2"/>
          </w:tcPr>
          <w:p>
            <w:pPr>
              <w:autoSpaceDE w:val="0"/>
              <w:autoSpaceDN w:val="0"/>
              <w:adjustRightInd w:val="0"/>
              <w:spacing w:before="60" w:after="60"/>
              <w:rPr>
                <w:rFonts w:cs="Arial"/>
                <w:b/>
                <w:sz w:val="18"/>
                <w:szCs w:val="18"/>
              </w:rPr>
            </w:pPr>
            <w:r>
              <w:rPr>
                <w:rFonts w:cs="Arial"/>
                <w:b/>
                <w:sz w:val="18"/>
                <w:szCs w:val="18"/>
              </w:rPr>
              <w:t>Beschreibung</w:t>
            </w:r>
          </w:p>
        </w:tc>
      </w:tr>
      <w:tr>
        <w:trPr>
          <w:trHeight w:val="389"/>
        </w:trPr>
        <w:tc>
          <w:tcPr>
            <w:tcW w:w="700" w:type="dxa"/>
          </w:tcPr>
          <w:p>
            <w:pPr>
              <w:autoSpaceDE w:val="0"/>
              <w:autoSpaceDN w:val="0"/>
              <w:adjustRightInd w:val="0"/>
              <w:spacing w:before="60" w:after="60"/>
              <w:rPr>
                <w:rFonts w:cs="Arial"/>
                <w:b/>
                <w:sz w:val="16"/>
                <w:szCs w:val="16"/>
              </w:rPr>
            </w:pPr>
            <w:r>
              <w:rPr>
                <w:rFonts w:cs="Arial"/>
                <w:b/>
                <w:sz w:val="16"/>
                <w:szCs w:val="16"/>
              </w:rPr>
              <w:t>K 1</w:t>
            </w:r>
          </w:p>
        </w:tc>
        <w:tc>
          <w:tcPr>
            <w:tcW w:w="949" w:type="dxa"/>
          </w:tcPr>
          <w:p>
            <w:pPr>
              <w:autoSpaceDE w:val="0"/>
              <w:autoSpaceDN w:val="0"/>
              <w:adjustRightInd w:val="0"/>
              <w:spacing w:before="60" w:after="60"/>
              <w:rPr>
                <w:rFonts w:cs="Arial"/>
                <w:b/>
                <w:sz w:val="16"/>
                <w:szCs w:val="16"/>
              </w:rPr>
            </w:pPr>
            <w:r>
              <w:rPr>
                <w:rFonts w:cs="Arial"/>
                <w:b/>
                <w:sz w:val="16"/>
                <w:szCs w:val="16"/>
              </w:rPr>
              <w:t>Wissen</w:t>
            </w:r>
          </w:p>
        </w:tc>
        <w:tc>
          <w:tcPr>
            <w:tcW w:w="7725" w:type="dxa"/>
          </w:tcPr>
          <w:p>
            <w:pPr>
              <w:autoSpaceDE w:val="0"/>
              <w:autoSpaceDN w:val="0"/>
              <w:adjustRightInd w:val="0"/>
              <w:spacing w:before="60" w:after="60"/>
              <w:rPr>
                <w:rFonts w:cs="Arial"/>
                <w:sz w:val="16"/>
                <w:szCs w:val="16"/>
              </w:rPr>
            </w:pPr>
            <w:r>
              <w:rPr>
                <w:rFonts w:cs="Arial"/>
                <w:bCs/>
                <w:color w:val="FF0000"/>
                <w:sz w:val="16"/>
                <w:szCs w:val="16"/>
              </w:rPr>
              <w:t>[</w:t>
            </w:r>
            <w:r>
              <w:rPr>
                <w:rFonts w:cs="Arial"/>
                <w:bCs/>
                <w:color w:val="FF0000"/>
                <w:sz w:val="16"/>
                <w:szCs w:val="16"/>
              </w:rPr>
              <w:t>Titel w/Titel m</w:t>
            </w:r>
            <w:r>
              <w:rPr>
                <w:rFonts w:cs="Arial"/>
                <w:bCs/>
                <w:color w:val="FF0000"/>
                <w:sz w:val="16"/>
                <w:szCs w:val="16"/>
              </w:rPr>
              <w:t>]</w:t>
            </w:r>
            <w:r>
              <w:rPr>
                <w:rFonts w:cs="Arial"/>
                <w:bCs/>
                <w:sz w:val="16"/>
                <w:szCs w:val="16"/>
              </w:rPr>
              <w:t xml:space="preserve"> </w:t>
            </w:r>
            <w:r>
              <w:rPr>
                <w:rFonts w:cs="Arial"/>
                <w:sz w:val="16"/>
                <w:szCs w:val="16"/>
              </w:rPr>
              <w:t>geben gelerntes Wissen wieder und rufen es in gleichartiger Situation ab.</w:t>
            </w:r>
          </w:p>
          <w:p>
            <w:pPr>
              <w:autoSpaceDE w:val="0"/>
              <w:autoSpaceDN w:val="0"/>
              <w:adjustRightInd w:val="0"/>
              <w:spacing w:before="60" w:after="60"/>
              <w:rPr>
                <w:rFonts w:cs="Arial"/>
                <w:color w:val="FF0000"/>
                <w:sz w:val="16"/>
                <w:szCs w:val="16"/>
              </w:rPr>
            </w:pPr>
            <w:proofErr w:type="spellStart"/>
            <w:r>
              <w:rPr>
                <w:rFonts w:cs="Arial"/>
                <w:color w:val="FF0000"/>
                <w:sz w:val="16"/>
                <w:szCs w:val="16"/>
              </w:rPr>
              <w:t>Evt.</w:t>
            </w:r>
            <w:proofErr w:type="spellEnd"/>
            <w:r>
              <w:rPr>
                <w:rFonts w:cs="Arial"/>
                <w:color w:val="FF0000"/>
                <w:sz w:val="16"/>
                <w:szCs w:val="16"/>
              </w:rPr>
              <w:t xml:space="preserve"> Beispiel des Berufes einfügen</w:t>
            </w:r>
          </w:p>
        </w:tc>
      </w:tr>
      <w:tr>
        <w:trPr>
          <w:trHeight w:val="450"/>
        </w:trPr>
        <w:tc>
          <w:tcPr>
            <w:tcW w:w="700" w:type="dxa"/>
          </w:tcPr>
          <w:p>
            <w:pPr>
              <w:autoSpaceDE w:val="0"/>
              <w:autoSpaceDN w:val="0"/>
              <w:adjustRightInd w:val="0"/>
              <w:spacing w:before="60" w:after="60"/>
              <w:rPr>
                <w:rFonts w:cs="Arial"/>
                <w:b/>
                <w:sz w:val="16"/>
                <w:szCs w:val="16"/>
              </w:rPr>
            </w:pPr>
            <w:r>
              <w:rPr>
                <w:rFonts w:cs="Arial"/>
                <w:b/>
                <w:sz w:val="16"/>
                <w:szCs w:val="16"/>
              </w:rPr>
              <w:t>K 2</w:t>
            </w:r>
          </w:p>
        </w:tc>
        <w:tc>
          <w:tcPr>
            <w:tcW w:w="949" w:type="dxa"/>
          </w:tcPr>
          <w:p>
            <w:pPr>
              <w:autoSpaceDE w:val="0"/>
              <w:autoSpaceDN w:val="0"/>
              <w:adjustRightInd w:val="0"/>
              <w:spacing w:before="60" w:after="60"/>
              <w:rPr>
                <w:rFonts w:cs="Arial"/>
                <w:b/>
                <w:sz w:val="16"/>
                <w:szCs w:val="16"/>
              </w:rPr>
            </w:pPr>
            <w:r>
              <w:rPr>
                <w:rFonts w:cs="Arial"/>
                <w:b/>
                <w:sz w:val="16"/>
                <w:szCs w:val="16"/>
              </w:rPr>
              <w:t>Verstehen</w:t>
            </w:r>
          </w:p>
        </w:tc>
        <w:tc>
          <w:tcPr>
            <w:tcW w:w="7725" w:type="dxa"/>
          </w:tcPr>
          <w:p>
            <w:pPr>
              <w:autoSpaceDE w:val="0"/>
              <w:autoSpaceDN w:val="0"/>
              <w:adjustRightInd w:val="0"/>
              <w:spacing w:before="60" w:after="60"/>
              <w:rPr>
                <w:rFonts w:cs="Arial"/>
                <w:sz w:val="16"/>
                <w:szCs w:val="16"/>
              </w:rPr>
            </w:pPr>
            <w:r>
              <w:rPr>
                <w:rFonts w:cs="Arial"/>
                <w:bCs/>
                <w:color w:val="FF0000"/>
                <w:sz w:val="16"/>
                <w:szCs w:val="16"/>
              </w:rPr>
              <w:t>[</w:t>
            </w:r>
            <w:r>
              <w:rPr>
                <w:rFonts w:cs="Arial"/>
                <w:bCs/>
                <w:color w:val="FF0000"/>
                <w:sz w:val="16"/>
                <w:szCs w:val="16"/>
              </w:rPr>
              <w:t>Titel w/Titel m</w:t>
            </w:r>
            <w:r>
              <w:rPr>
                <w:rFonts w:cs="Arial"/>
                <w:bCs/>
                <w:color w:val="FF0000"/>
                <w:sz w:val="16"/>
                <w:szCs w:val="16"/>
              </w:rPr>
              <w:t>]</w:t>
            </w:r>
            <w:r>
              <w:rPr>
                <w:rFonts w:cs="Arial"/>
                <w:bCs/>
                <w:sz w:val="16"/>
                <w:szCs w:val="16"/>
              </w:rPr>
              <w:t xml:space="preserve"> </w:t>
            </w:r>
            <w:r>
              <w:rPr>
                <w:rFonts w:cs="Arial"/>
                <w:sz w:val="16"/>
                <w:szCs w:val="16"/>
              </w:rPr>
              <w:t>erklären oder beschreiben gelerntes Wissen in eigenen Worten.</w:t>
            </w:r>
          </w:p>
          <w:p>
            <w:pPr>
              <w:autoSpaceDE w:val="0"/>
              <w:autoSpaceDN w:val="0"/>
              <w:adjustRightInd w:val="0"/>
              <w:spacing w:before="60" w:after="60"/>
              <w:rPr>
                <w:rFonts w:cs="Arial"/>
                <w:sz w:val="16"/>
                <w:szCs w:val="16"/>
              </w:rPr>
            </w:pPr>
            <w:r>
              <w:rPr>
                <w:rFonts w:cs="Arial"/>
                <w:color w:val="FF0000"/>
                <w:sz w:val="16"/>
                <w:szCs w:val="16"/>
              </w:rPr>
              <w:t>Beispiel des Berufes einfügen</w:t>
            </w:r>
          </w:p>
        </w:tc>
      </w:tr>
      <w:tr>
        <w:trPr>
          <w:trHeight w:val="332"/>
        </w:trPr>
        <w:tc>
          <w:tcPr>
            <w:tcW w:w="700" w:type="dxa"/>
          </w:tcPr>
          <w:p>
            <w:pPr>
              <w:autoSpaceDE w:val="0"/>
              <w:autoSpaceDN w:val="0"/>
              <w:adjustRightInd w:val="0"/>
              <w:spacing w:before="60" w:after="60"/>
              <w:rPr>
                <w:rFonts w:cs="Arial"/>
                <w:b/>
                <w:sz w:val="16"/>
                <w:szCs w:val="16"/>
              </w:rPr>
            </w:pPr>
            <w:r>
              <w:rPr>
                <w:rFonts w:cs="Arial"/>
                <w:b/>
                <w:sz w:val="16"/>
                <w:szCs w:val="16"/>
              </w:rPr>
              <w:t>K 3</w:t>
            </w:r>
          </w:p>
        </w:tc>
        <w:tc>
          <w:tcPr>
            <w:tcW w:w="949" w:type="dxa"/>
          </w:tcPr>
          <w:p>
            <w:pPr>
              <w:autoSpaceDE w:val="0"/>
              <w:autoSpaceDN w:val="0"/>
              <w:adjustRightInd w:val="0"/>
              <w:spacing w:before="60" w:after="60"/>
              <w:rPr>
                <w:rFonts w:cs="Arial"/>
                <w:b/>
                <w:sz w:val="16"/>
                <w:szCs w:val="16"/>
              </w:rPr>
            </w:pPr>
            <w:r>
              <w:rPr>
                <w:rFonts w:cs="Arial"/>
                <w:b/>
                <w:sz w:val="16"/>
                <w:szCs w:val="16"/>
              </w:rPr>
              <w:t>Anwenden</w:t>
            </w:r>
          </w:p>
        </w:tc>
        <w:tc>
          <w:tcPr>
            <w:tcW w:w="7725" w:type="dxa"/>
          </w:tcPr>
          <w:p>
            <w:pPr>
              <w:autoSpaceDE w:val="0"/>
              <w:autoSpaceDN w:val="0"/>
              <w:adjustRightInd w:val="0"/>
              <w:spacing w:before="60" w:after="60"/>
              <w:rPr>
                <w:rFonts w:cs="Arial"/>
                <w:sz w:val="16"/>
                <w:szCs w:val="16"/>
              </w:rPr>
            </w:pPr>
            <w:r>
              <w:rPr>
                <w:rFonts w:cs="Arial"/>
                <w:bCs/>
                <w:color w:val="FF0000"/>
                <w:sz w:val="16"/>
                <w:szCs w:val="16"/>
              </w:rPr>
              <w:t>[</w:t>
            </w:r>
            <w:r>
              <w:rPr>
                <w:rFonts w:cs="Arial"/>
                <w:bCs/>
                <w:color w:val="FF0000"/>
                <w:sz w:val="16"/>
                <w:szCs w:val="16"/>
              </w:rPr>
              <w:t>Titel w/Titel m</w:t>
            </w:r>
            <w:r>
              <w:rPr>
                <w:rFonts w:cs="Arial"/>
                <w:bCs/>
                <w:color w:val="FF0000"/>
                <w:sz w:val="16"/>
                <w:szCs w:val="16"/>
              </w:rPr>
              <w:t xml:space="preserve">] </w:t>
            </w:r>
            <w:r>
              <w:rPr>
                <w:rFonts w:cs="Arial"/>
                <w:bCs/>
                <w:sz w:val="16"/>
                <w:szCs w:val="16"/>
              </w:rPr>
              <w:t>wenden</w:t>
            </w:r>
            <w:r>
              <w:rPr>
                <w:rFonts w:cs="Arial"/>
                <w:bCs/>
                <w:color w:val="FF0000"/>
                <w:sz w:val="16"/>
                <w:szCs w:val="16"/>
              </w:rPr>
              <w:t xml:space="preserve"> </w:t>
            </w:r>
            <w:r>
              <w:rPr>
                <w:rFonts w:cs="Arial"/>
                <w:sz w:val="16"/>
                <w:szCs w:val="16"/>
              </w:rPr>
              <w:t xml:space="preserve">gelernte Technologien/Fertigkeiten in unterschiedlichen Situationen an. </w:t>
            </w:r>
          </w:p>
          <w:p>
            <w:pPr>
              <w:autoSpaceDE w:val="0"/>
              <w:autoSpaceDN w:val="0"/>
              <w:adjustRightInd w:val="0"/>
              <w:spacing w:before="60" w:after="60"/>
              <w:rPr>
                <w:rFonts w:cs="Arial"/>
                <w:sz w:val="16"/>
                <w:szCs w:val="16"/>
              </w:rPr>
            </w:pPr>
            <w:proofErr w:type="spellStart"/>
            <w:r>
              <w:rPr>
                <w:rFonts w:cs="Arial"/>
                <w:color w:val="FF0000"/>
                <w:sz w:val="16"/>
                <w:szCs w:val="16"/>
              </w:rPr>
              <w:t>Evt.</w:t>
            </w:r>
            <w:proofErr w:type="spellEnd"/>
            <w:r>
              <w:rPr>
                <w:rFonts w:cs="Arial"/>
                <w:sz w:val="16"/>
                <w:szCs w:val="16"/>
              </w:rPr>
              <w:t xml:space="preserve"> </w:t>
            </w:r>
            <w:r>
              <w:rPr>
                <w:rFonts w:cs="Arial"/>
                <w:color w:val="FF0000"/>
                <w:sz w:val="16"/>
                <w:szCs w:val="16"/>
              </w:rPr>
              <w:t>Beispiel des Berufes einfügen</w:t>
            </w:r>
          </w:p>
        </w:tc>
      </w:tr>
      <w:tr>
        <w:trPr>
          <w:trHeight w:val="390"/>
        </w:trPr>
        <w:tc>
          <w:tcPr>
            <w:tcW w:w="700" w:type="dxa"/>
          </w:tcPr>
          <w:p>
            <w:pPr>
              <w:autoSpaceDE w:val="0"/>
              <w:autoSpaceDN w:val="0"/>
              <w:adjustRightInd w:val="0"/>
              <w:spacing w:before="60" w:after="60"/>
              <w:rPr>
                <w:rFonts w:cs="Arial"/>
                <w:b/>
                <w:sz w:val="16"/>
                <w:szCs w:val="16"/>
              </w:rPr>
            </w:pPr>
            <w:r>
              <w:rPr>
                <w:rFonts w:cs="Arial"/>
                <w:b/>
                <w:sz w:val="16"/>
                <w:szCs w:val="16"/>
              </w:rPr>
              <w:t>K 4</w:t>
            </w:r>
          </w:p>
        </w:tc>
        <w:tc>
          <w:tcPr>
            <w:tcW w:w="949" w:type="dxa"/>
          </w:tcPr>
          <w:p>
            <w:pPr>
              <w:autoSpaceDE w:val="0"/>
              <w:autoSpaceDN w:val="0"/>
              <w:adjustRightInd w:val="0"/>
              <w:spacing w:before="60" w:after="60"/>
              <w:rPr>
                <w:rFonts w:cs="Arial"/>
                <w:b/>
                <w:sz w:val="16"/>
                <w:szCs w:val="16"/>
              </w:rPr>
            </w:pPr>
            <w:r>
              <w:rPr>
                <w:rFonts w:cs="Arial"/>
                <w:b/>
                <w:sz w:val="16"/>
                <w:szCs w:val="16"/>
              </w:rPr>
              <w:t>Analyse</w:t>
            </w:r>
          </w:p>
        </w:tc>
        <w:tc>
          <w:tcPr>
            <w:tcW w:w="7725" w:type="dxa"/>
          </w:tcPr>
          <w:p>
            <w:pPr>
              <w:autoSpaceDE w:val="0"/>
              <w:autoSpaceDN w:val="0"/>
              <w:adjustRightInd w:val="0"/>
              <w:spacing w:before="60" w:after="60"/>
              <w:rPr>
                <w:rFonts w:cs="Arial"/>
                <w:sz w:val="16"/>
                <w:szCs w:val="16"/>
              </w:rPr>
            </w:pPr>
            <w:r>
              <w:rPr>
                <w:rFonts w:cs="Arial"/>
                <w:bCs/>
                <w:color w:val="FF0000"/>
                <w:sz w:val="16"/>
                <w:szCs w:val="16"/>
              </w:rPr>
              <w:t>[Titel w/Titel m</w:t>
            </w:r>
            <w:r>
              <w:rPr>
                <w:rFonts w:cs="Arial"/>
                <w:bCs/>
                <w:color w:val="FF0000"/>
                <w:sz w:val="16"/>
                <w:szCs w:val="16"/>
              </w:rPr>
              <w:t>]</w:t>
            </w:r>
            <w:r>
              <w:rPr>
                <w:rFonts w:cs="Arial"/>
                <w:bCs/>
                <w:sz w:val="16"/>
                <w:szCs w:val="16"/>
              </w:rPr>
              <w:t xml:space="preserve"> analysieren </w:t>
            </w:r>
            <w:r>
              <w:rPr>
                <w:rFonts w:cs="Arial"/>
                <w:sz w:val="16"/>
                <w:szCs w:val="16"/>
              </w:rPr>
              <w:t>eine komplexe Situation, d.h. sie gliedern Sachverhalte in Einzelelemente, decken Beziehungen zwischen Elementen auf und finden Strukturmerkmale heraus.</w:t>
            </w:r>
          </w:p>
          <w:p>
            <w:pPr>
              <w:autoSpaceDE w:val="0"/>
              <w:autoSpaceDN w:val="0"/>
              <w:adjustRightInd w:val="0"/>
              <w:spacing w:before="60" w:after="60"/>
              <w:rPr>
                <w:rFonts w:cs="Arial"/>
                <w:sz w:val="16"/>
                <w:szCs w:val="16"/>
              </w:rPr>
            </w:pPr>
            <w:proofErr w:type="spellStart"/>
            <w:r>
              <w:rPr>
                <w:rFonts w:cs="Arial"/>
                <w:color w:val="FF0000"/>
                <w:sz w:val="16"/>
                <w:szCs w:val="16"/>
              </w:rPr>
              <w:t>Evt.</w:t>
            </w:r>
            <w:proofErr w:type="spellEnd"/>
            <w:r>
              <w:rPr>
                <w:rFonts w:cs="Arial"/>
                <w:color w:val="FF0000"/>
                <w:sz w:val="16"/>
                <w:szCs w:val="16"/>
              </w:rPr>
              <w:t xml:space="preserve"> Beispiel des Berufes einfügen</w:t>
            </w:r>
          </w:p>
        </w:tc>
      </w:tr>
      <w:tr>
        <w:trPr>
          <w:trHeight w:val="275"/>
        </w:trPr>
        <w:tc>
          <w:tcPr>
            <w:tcW w:w="700" w:type="dxa"/>
          </w:tcPr>
          <w:p>
            <w:pPr>
              <w:autoSpaceDE w:val="0"/>
              <w:autoSpaceDN w:val="0"/>
              <w:adjustRightInd w:val="0"/>
              <w:spacing w:before="60" w:after="60"/>
              <w:rPr>
                <w:rFonts w:cs="Arial"/>
                <w:b/>
                <w:sz w:val="16"/>
                <w:szCs w:val="16"/>
              </w:rPr>
            </w:pPr>
            <w:r>
              <w:rPr>
                <w:rFonts w:cs="Arial"/>
                <w:b/>
                <w:sz w:val="16"/>
                <w:szCs w:val="16"/>
              </w:rPr>
              <w:t>K 5</w:t>
            </w:r>
          </w:p>
        </w:tc>
        <w:tc>
          <w:tcPr>
            <w:tcW w:w="949" w:type="dxa"/>
          </w:tcPr>
          <w:p>
            <w:pPr>
              <w:autoSpaceDE w:val="0"/>
              <w:autoSpaceDN w:val="0"/>
              <w:adjustRightInd w:val="0"/>
              <w:spacing w:before="60" w:after="60"/>
              <w:rPr>
                <w:rFonts w:cs="Arial"/>
                <w:b/>
                <w:sz w:val="16"/>
                <w:szCs w:val="16"/>
              </w:rPr>
            </w:pPr>
            <w:r>
              <w:rPr>
                <w:rFonts w:cs="Arial"/>
                <w:b/>
                <w:sz w:val="16"/>
                <w:szCs w:val="16"/>
              </w:rPr>
              <w:t>Synthese</w:t>
            </w:r>
          </w:p>
        </w:tc>
        <w:tc>
          <w:tcPr>
            <w:tcW w:w="7725" w:type="dxa"/>
          </w:tcPr>
          <w:p>
            <w:pPr>
              <w:autoSpaceDE w:val="0"/>
              <w:autoSpaceDN w:val="0"/>
              <w:adjustRightInd w:val="0"/>
              <w:spacing w:before="60" w:after="60"/>
              <w:rPr>
                <w:rFonts w:cs="Arial"/>
                <w:color w:val="FF0000"/>
                <w:sz w:val="16"/>
                <w:szCs w:val="16"/>
              </w:rPr>
            </w:pPr>
            <w:r>
              <w:rPr>
                <w:rFonts w:cs="Arial"/>
                <w:bCs/>
                <w:color w:val="FF0000"/>
                <w:sz w:val="16"/>
                <w:szCs w:val="16"/>
              </w:rPr>
              <w:t>[</w:t>
            </w:r>
            <w:r>
              <w:rPr>
                <w:rFonts w:cs="Arial"/>
                <w:bCs/>
                <w:color w:val="FF0000"/>
                <w:sz w:val="16"/>
                <w:szCs w:val="16"/>
              </w:rPr>
              <w:t>Titel w/Titel m</w:t>
            </w:r>
            <w:r>
              <w:rPr>
                <w:rFonts w:cs="Arial"/>
                <w:bCs/>
                <w:color w:val="FF0000"/>
                <w:sz w:val="16"/>
                <w:szCs w:val="16"/>
              </w:rPr>
              <w:t>]</w:t>
            </w:r>
            <w:r>
              <w:rPr>
                <w:rFonts w:cs="Arial"/>
                <w:bCs/>
                <w:sz w:val="16"/>
                <w:szCs w:val="16"/>
              </w:rPr>
              <w:t xml:space="preserve"> kombinieren einzelne Elemente eines Sachverhalts und fügen sie zu einem Ganzen zusammen.</w:t>
            </w:r>
          </w:p>
          <w:p>
            <w:pPr>
              <w:autoSpaceDE w:val="0"/>
              <w:autoSpaceDN w:val="0"/>
              <w:adjustRightInd w:val="0"/>
              <w:spacing w:before="60" w:after="60"/>
              <w:rPr>
                <w:rFonts w:cs="Arial"/>
                <w:sz w:val="16"/>
                <w:szCs w:val="16"/>
              </w:rPr>
            </w:pPr>
            <w:proofErr w:type="spellStart"/>
            <w:r>
              <w:rPr>
                <w:rFonts w:cs="Arial"/>
                <w:color w:val="FF0000"/>
                <w:sz w:val="16"/>
                <w:szCs w:val="16"/>
              </w:rPr>
              <w:t>Evt.</w:t>
            </w:r>
            <w:proofErr w:type="spellEnd"/>
            <w:r>
              <w:rPr>
                <w:rFonts w:cs="Arial"/>
                <w:color w:val="FF0000"/>
                <w:sz w:val="16"/>
                <w:szCs w:val="16"/>
              </w:rPr>
              <w:t xml:space="preserve"> Beispiel des Berufes einfügen</w:t>
            </w:r>
          </w:p>
        </w:tc>
      </w:tr>
      <w:tr>
        <w:trPr>
          <w:trHeight w:val="480"/>
        </w:trPr>
        <w:tc>
          <w:tcPr>
            <w:tcW w:w="700" w:type="dxa"/>
          </w:tcPr>
          <w:p>
            <w:pPr>
              <w:autoSpaceDE w:val="0"/>
              <w:autoSpaceDN w:val="0"/>
              <w:adjustRightInd w:val="0"/>
              <w:spacing w:before="60" w:after="60"/>
              <w:rPr>
                <w:rFonts w:cs="Arial"/>
                <w:b/>
                <w:sz w:val="16"/>
                <w:szCs w:val="16"/>
              </w:rPr>
            </w:pPr>
            <w:r>
              <w:rPr>
                <w:rFonts w:cs="Arial"/>
                <w:b/>
                <w:sz w:val="16"/>
                <w:szCs w:val="16"/>
              </w:rPr>
              <w:t>K 6</w:t>
            </w:r>
          </w:p>
        </w:tc>
        <w:tc>
          <w:tcPr>
            <w:tcW w:w="949" w:type="dxa"/>
          </w:tcPr>
          <w:p>
            <w:pPr>
              <w:autoSpaceDE w:val="0"/>
              <w:autoSpaceDN w:val="0"/>
              <w:adjustRightInd w:val="0"/>
              <w:spacing w:before="60" w:after="60"/>
              <w:rPr>
                <w:rFonts w:cs="Arial"/>
                <w:b/>
                <w:sz w:val="16"/>
                <w:szCs w:val="16"/>
              </w:rPr>
            </w:pPr>
            <w:r>
              <w:rPr>
                <w:rFonts w:cs="Arial"/>
                <w:b/>
                <w:sz w:val="16"/>
                <w:szCs w:val="16"/>
              </w:rPr>
              <w:t>Beurteilen</w:t>
            </w:r>
          </w:p>
        </w:tc>
        <w:tc>
          <w:tcPr>
            <w:tcW w:w="7725" w:type="dxa"/>
          </w:tcPr>
          <w:p>
            <w:pPr>
              <w:autoSpaceDE w:val="0"/>
              <w:autoSpaceDN w:val="0"/>
              <w:adjustRightInd w:val="0"/>
              <w:spacing w:before="60" w:after="60"/>
              <w:rPr>
                <w:rFonts w:cs="Arial"/>
                <w:sz w:val="16"/>
                <w:szCs w:val="16"/>
              </w:rPr>
            </w:pPr>
            <w:r>
              <w:rPr>
                <w:rFonts w:cs="Arial"/>
                <w:bCs/>
                <w:color w:val="FF0000"/>
                <w:sz w:val="16"/>
                <w:szCs w:val="16"/>
              </w:rPr>
              <w:t>[</w:t>
            </w:r>
            <w:r>
              <w:rPr>
                <w:rFonts w:cs="Arial"/>
                <w:bCs/>
                <w:color w:val="FF0000"/>
                <w:sz w:val="16"/>
                <w:szCs w:val="16"/>
              </w:rPr>
              <w:t>Titel w/Titel m</w:t>
            </w:r>
            <w:r>
              <w:rPr>
                <w:rFonts w:cs="Arial"/>
                <w:bCs/>
                <w:color w:val="FF0000"/>
                <w:sz w:val="16"/>
                <w:szCs w:val="16"/>
              </w:rPr>
              <w:t>]</w:t>
            </w:r>
            <w:r>
              <w:rPr>
                <w:rFonts w:cs="Arial"/>
                <w:bCs/>
                <w:sz w:val="16"/>
                <w:szCs w:val="16"/>
              </w:rPr>
              <w:t xml:space="preserve"> beurteilen einen mehr oder weniger komplexen Sachverhalt aufgrund von bestimmten Kriterien.</w:t>
            </w:r>
          </w:p>
          <w:p>
            <w:pPr>
              <w:autoSpaceDE w:val="0"/>
              <w:autoSpaceDN w:val="0"/>
              <w:adjustRightInd w:val="0"/>
              <w:spacing w:before="60" w:after="60"/>
              <w:rPr>
                <w:rFonts w:cs="Arial"/>
                <w:sz w:val="16"/>
                <w:szCs w:val="16"/>
              </w:rPr>
            </w:pPr>
            <w:proofErr w:type="spellStart"/>
            <w:r>
              <w:rPr>
                <w:rFonts w:cs="Arial"/>
                <w:color w:val="FF0000"/>
                <w:sz w:val="16"/>
                <w:szCs w:val="16"/>
              </w:rPr>
              <w:t>Evt.</w:t>
            </w:r>
            <w:proofErr w:type="spellEnd"/>
            <w:r>
              <w:rPr>
                <w:rFonts w:cs="Arial"/>
                <w:color w:val="FF0000"/>
                <w:sz w:val="16"/>
                <w:szCs w:val="16"/>
              </w:rPr>
              <w:t xml:space="preserve"> Beispiel des Berufes einfügen</w:t>
            </w:r>
          </w:p>
        </w:tc>
      </w:tr>
    </w:tbl>
    <w:p>
      <w:pPr>
        <w:pStyle w:val="berschrift2"/>
        <w:numPr>
          <w:ilvl w:val="1"/>
          <w:numId w:val="39"/>
        </w:numPr>
        <w:ind w:left="567" w:hanging="567"/>
      </w:pPr>
      <w:r>
        <w:br w:type="page"/>
      </w:r>
      <w:bookmarkStart w:id="14" w:name="_Toc459320424"/>
      <w:bookmarkStart w:id="15" w:name="_Toc143691014"/>
      <w:r>
        <w:lastRenderedPageBreak/>
        <w:t>Zusammenarbeit der Lernorte</w:t>
      </w:r>
      <w:bookmarkEnd w:id="14"/>
      <w:bookmarkEnd w:id="15"/>
    </w:p>
    <w:p>
      <w:r>
        <w:t>Koordination und Kooperation der Lernorte (bezüglich Inhalten, Arbeitsmethoden, Zeitplanung, Gepflogenheiten des Berufs) sind eine wichtige Voraussetzung für das Gelingen der beruflichen Grundbildung. Die Lernenden sollen während der gesamten Ausbildung darin unterstützt werden, Theorie und Praxis miteinander in Beziehung zu bringen. Eine Zusammenarbeit der Lernorte ist daher zentral, die Vermittlung der Handlungskompetenzen ist eine gemeinsame Aufgabe. Jeder Lernort leistet seinen Beitrag unter Einbezug des Beitrags der anderen Lernorte. Durch gute Zusammenarbeit kann jeder Lernort seinen Beitrag laufend überprüfen und optimieren. Dies erhöht die Qualität der beruflichen Grundbildung.</w:t>
      </w:r>
    </w:p>
    <w:p>
      <w:r>
        <w:t xml:space="preserve">Der spezifische Beitrag der Lernorte kann wie folgt zusammengefasst werden: </w:t>
      </w:r>
    </w:p>
    <w:p>
      <w:pPr>
        <w:numPr>
          <w:ilvl w:val="0"/>
          <w:numId w:val="14"/>
        </w:numPr>
        <w:spacing w:before="60" w:after="60"/>
      </w:pPr>
      <w:r>
        <w:t>Der Lehrbetrieb; im dualen System findet die Bildung in beruflicher Praxis im Lehrbetrieb, im Lehrbetriebsverbund, in Lehrwerkstätten, in Handelsmittelschulen oder in anderen zu diesem Zweck anerkannten Institutionen statt, wo den Lernenden die praktischen Fertigkeiten des Berufs vermittelt werden.</w:t>
      </w:r>
    </w:p>
    <w:p>
      <w:pPr>
        <w:numPr>
          <w:ilvl w:val="0"/>
          <w:numId w:val="14"/>
        </w:numPr>
        <w:spacing w:before="60" w:after="60"/>
      </w:pPr>
      <w:r>
        <w:t>Die Berufsfachschule; sie vermittelt die schulische Bildung, welche aus dem Unterricht in den Berufskenntnissen, der Allgemeinbildung und dem Sport besteht.</w:t>
      </w:r>
    </w:p>
    <w:p>
      <w:pPr>
        <w:numPr>
          <w:ilvl w:val="0"/>
          <w:numId w:val="14"/>
        </w:numPr>
        <w:spacing w:before="60" w:after="0"/>
        <w:ind w:left="714" w:hanging="357"/>
      </w:pPr>
      <w:r>
        <w:t>Die überbetrieblichen Kurse; s</w:t>
      </w:r>
      <w:r>
        <w:rPr>
          <w:rFonts w:cs="Arial"/>
        </w:rPr>
        <w:t>ie dienen der Vermittlung und dem Erwerb grundlegender Fertigkeiten und ergänzen die Bildung in beruflicher Praxis und die schulische Bildung, wo die zu erlernende Berufstätigkeit dies erfordert.</w:t>
      </w:r>
    </w:p>
    <w:p/>
    <w:p>
      <w:r>
        <w:t>Das Zusammenspiel der Lernorte lässt sich wie folgt darstellen:</w:t>
      </w:r>
    </w:p>
    <w:p>
      <w:pPr>
        <w:jc w:val="center"/>
      </w:pPr>
      <w:r>
        <w:rPr>
          <w:noProof/>
        </w:rPr>
        <mc:AlternateContent>
          <mc:Choice Requires="wps">
            <w:drawing>
              <wp:anchor distT="45720" distB="45720" distL="114300" distR="114300" simplePos="0" relativeHeight="251648512" behindDoc="0" locked="0" layoutInCell="1" allowOverlap="1">
                <wp:simplePos x="0" y="0"/>
                <wp:positionH relativeFrom="column">
                  <wp:posOffset>3680681</wp:posOffset>
                </wp:positionH>
                <wp:positionV relativeFrom="paragraph">
                  <wp:posOffset>162560</wp:posOffset>
                </wp:positionV>
                <wp:extent cx="1852654" cy="691626"/>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654" cy="691626"/>
                        </a:xfrm>
                        <a:prstGeom prst="rect">
                          <a:avLst/>
                        </a:prstGeom>
                        <a:solidFill>
                          <a:srgbClr val="FFFFFF"/>
                        </a:solidFill>
                        <a:ln w="9525">
                          <a:noFill/>
                          <a:miter lim="800000"/>
                          <a:headEnd/>
                          <a:tailEnd/>
                        </a:ln>
                      </wps:spPr>
                      <wps:txbx>
                        <w:txbxContent>
                          <w:p>
                            <w:pPr>
                              <w:spacing w:after="0"/>
                            </w:pPr>
                            <w:r>
                              <w:t>Idealisiertes Einführen, Anwenden, Üben.</w:t>
                            </w:r>
                          </w:p>
                          <w:p>
                            <w:pPr>
                              <w:spacing w:after="0"/>
                            </w:pPr>
                            <w:r>
                              <w:t>Als Ergänzung zur betrieblichen Ausbildung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43" type="#_x0000_t202" style="position:absolute;left:0;text-align:left;margin-left:289.8pt;margin-top:12.8pt;width:145.9pt;height:54.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" stroked="f">
                <v:textbox>
                  <w:txbxContent>
                    <w:p>
                      <w:pPr>
                        <w:spacing w:after="0"/>
                      </w:pPr>
                      <w:r>
                        <w:t>Idealisiertes Einführen, Anwenden, Üben.</w:t>
                      </w:r>
                    </w:p>
                    <w:p>
                      <w:pPr>
                        <w:spacing w:after="0"/>
                      </w:pPr>
                      <w:r>
                        <w:t>Als Ergänzung zur betrieblichen Ausbildung</w:t>
                      </w:r>
                    </w:p>
                  </w:txbxContent>
                </v:textbox>
              </v:shape>
            </w:pict>
          </mc:Fallback>
        </mc:AlternateContent>
      </w:r>
      <w:r>
        <w:rPr>
          <w:noProof/>
        </w:rPr>
        <mc:AlternateContent>
          <mc:Choice Requires="wps">
            <w:drawing>
              <wp:anchor distT="45720" distB="45720" distL="114300" distR="114300" simplePos="0" relativeHeight="251650560" behindDoc="0" locked="0" layoutInCell="1" allowOverlap="1">
                <wp:simplePos x="0" y="0"/>
                <wp:positionH relativeFrom="column">
                  <wp:posOffset>810674</wp:posOffset>
                </wp:positionH>
                <wp:positionV relativeFrom="paragraph">
                  <wp:posOffset>1577975</wp:posOffset>
                </wp:positionV>
                <wp:extent cx="1335819" cy="3657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819" cy="365760"/>
                        </a:xfrm>
                        <a:prstGeom prst="rect">
                          <a:avLst/>
                        </a:prstGeom>
                        <a:solidFill>
                          <a:srgbClr val="FFFFFF"/>
                        </a:solidFill>
                        <a:ln w="9525">
                          <a:noFill/>
                          <a:miter lim="800000"/>
                          <a:headEnd/>
                          <a:tailEnd/>
                        </a:ln>
                      </wps:spPr>
                      <wps:txbx>
                        <w:txbxContent>
                          <w:p>
                            <w:pPr>
                              <w:spacing w:after="0"/>
                            </w:pPr>
                            <w:r>
                              <w:t xml:space="preserve">Erklärende Theorie </w:t>
                            </w:r>
                          </w:p>
                          <w:p>
                            <w:pPr>
                              <w:spacing w:after="0"/>
                            </w:pPr>
                            <w:r>
                              <w:t>zur Praxis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63.85pt;margin-top:124.25pt;width:105.2pt;height:28.8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" stroked="f">
                <v:textbox>
                  <w:txbxContent>
                    <w:p>
                      <w:pPr>
                        <w:spacing w:after="0"/>
                      </w:pPr>
                      <w:r>
                        <w:t xml:space="preserve">Erklärende Theorie </w:t>
                      </w:r>
                    </w:p>
                    <w:p>
                      <w:pPr>
                        <w:spacing w:after="0"/>
                      </w:pPr>
                      <w:r>
                        <w:t>zur Praxis</w:t>
                      </w:r>
                    </w:p>
                  </w:txbxContent>
                </v:textbox>
              </v:shape>
            </w:pict>
          </mc:Fallback>
        </mc:AlternateContent>
      </w:r>
      <w:r>
        <w:rPr>
          <w:noProof/>
        </w:rPr>
        <mc:AlternateContent>
          <mc:Choice Requires="wps">
            <w:drawing>
              <wp:anchor distT="45720" distB="45720" distL="114300" distR="114300" simplePos="0" relativeHeight="251652608" behindDoc="0" locked="0" layoutInCell="1" allowOverlap="1">
                <wp:simplePos x="0" y="0"/>
                <wp:positionH relativeFrom="column">
                  <wp:posOffset>4548367</wp:posOffset>
                </wp:positionH>
                <wp:positionV relativeFrom="paragraph">
                  <wp:posOffset>2015490</wp:posOffset>
                </wp:positionV>
                <wp:extent cx="1677725" cy="3657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725" cy="365760"/>
                        </a:xfrm>
                        <a:prstGeom prst="rect">
                          <a:avLst/>
                        </a:prstGeom>
                        <a:solidFill>
                          <a:srgbClr val="FFFFFF"/>
                        </a:solidFill>
                        <a:ln w="9525">
                          <a:noFill/>
                          <a:miter lim="800000"/>
                          <a:headEnd/>
                          <a:tailEnd/>
                        </a:ln>
                      </wps:spPr>
                      <wps:txbx>
                        <w:txbxContent>
                          <w:p>
                            <w:pPr>
                              <w:spacing w:after="0"/>
                            </w:pPr>
                            <w:r>
                              <w:t>Einführen, Anwenden, Üben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58.15pt;margin-top:158.7pt;width:132.1pt;height:28.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" stroked="f">
                <v:textbox>
                  <w:txbxContent>
                    <w:p>
                      <w:pPr>
                        <w:spacing w:after="0"/>
                      </w:pPr>
                      <w:r>
                        <w:t>Einführen, Anwenden, Üben</w:t>
                      </w:r>
                    </w:p>
                  </w:txbxContent>
                </v:textbox>
              </v:shape>
            </w:pict>
          </mc:Fallback>
        </mc:AlternateContent>
      </w:r>
      <w:r>
        <w:rPr>
          <w:noProof/>
        </w:rPr>
        <w:drawing>
          <wp:inline distT="0" distB="0" distL="0" distR="0">
            <wp:extent cx="3164619" cy="2568271"/>
            <wp:effectExtent l="0" t="0" r="0" b="3810"/>
            <wp:docPr id="9" name="Diagram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spacing w:before="120"/>
      </w:pPr>
      <w:r>
        <w:t>Eine erfolgreiche Umsetzung der Lernortkooperation wird durch die entsprechenden Instrumente zur Förderung der Qualität der beruflichen Grundbildung (siehe Anhang) unterstützt.</w:t>
      </w:r>
    </w:p>
    <w:p>
      <w:pPr>
        <w:pStyle w:val="berschrift1"/>
        <w:numPr>
          <w:ilvl w:val="0"/>
          <w:numId w:val="36"/>
        </w:numPr>
        <w:ind w:left="709" w:hanging="709"/>
      </w:pPr>
      <w:r>
        <w:br w:type="page"/>
      </w:r>
      <w:bookmarkStart w:id="16" w:name="_Toc459320425"/>
      <w:bookmarkStart w:id="17" w:name="_Toc143691015"/>
      <w:r>
        <w:lastRenderedPageBreak/>
        <w:t>Qualifikationsprofil</w:t>
      </w:r>
      <w:bookmarkEnd w:id="16"/>
      <w:bookmarkEnd w:id="17"/>
    </w:p>
    <w:p>
      <w:pPr>
        <w:rPr>
          <w:rFonts w:cs="Arial"/>
        </w:rPr>
      </w:pPr>
      <w:r>
        <w:rPr>
          <w:rFonts w:cs="Arial"/>
        </w:rPr>
        <w:t xml:space="preserve">Das Qualifikationsprofil beschreibt das Berufsbild sowie die zu erwerbenden Handlungskompetenzen und das Anforderungsniveau des Berufes. Es zeigt auf, über welche Qualifikationen eine </w:t>
      </w:r>
      <w:r>
        <w:rPr>
          <w:rFonts w:cs="Arial"/>
          <w:color w:val="FF0000"/>
        </w:rPr>
        <w:t>[Titel w]</w:t>
      </w:r>
      <w:r>
        <w:rPr>
          <w:rFonts w:cs="Arial"/>
        </w:rPr>
        <w:t xml:space="preserve"> oder ein </w:t>
      </w:r>
      <w:r>
        <w:rPr>
          <w:rFonts w:cs="Arial"/>
          <w:color w:val="FF0000"/>
        </w:rPr>
        <w:t>[Titel m]</w:t>
      </w:r>
      <w:r>
        <w:rPr>
          <w:rFonts w:cs="Arial"/>
        </w:rPr>
        <w:t xml:space="preserve"> verfügen muss, um den Beruf auf dem erforderlichen Niveau kompetent auszuüben.</w:t>
      </w:r>
    </w:p>
    <w:p>
      <w:pPr>
        <w:autoSpaceDE w:val="0"/>
        <w:autoSpaceDN w:val="0"/>
        <w:adjustRightInd w:val="0"/>
        <w:spacing w:after="0"/>
      </w:pPr>
      <w:r>
        <w:rPr>
          <w:rFonts w:eastAsia="Century Gothic" w:cs="Arial"/>
        </w:rPr>
        <w:t xml:space="preserve">Neben der Beschreibung der Handlungskompetenzen dient das Qualifikationsprofil </w:t>
      </w:r>
      <w:r>
        <w:t>auch als Grundlage für die Ausgestaltung der Qualifikationsverfahren. Darüber hinaus unterstützt es die Einstufung des Berufsbildungsabschlusses im nationalen Qualifikationsrahmen Berufsbildung (NQR Berufsbildung) bei der Erarbeitung der Zeugniserläuterung.</w:t>
      </w:r>
    </w:p>
    <w:p>
      <w:pPr>
        <w:pStyle w:val="berschrift2"/>
        <w:numPr>
          <w:ilvl w:val="1"/>
          <w:numId w:val="41"/>
        </w:numPr>
        <w:ind w:left="709" w:hanging="709"/>
      </w:pPr>
      <w:bookmarkStart w:id="18" w:name="_Toc435427726"/>
      <w:bookmarkStart w:id="19" w:name="_Toc459320426"/>
      <w:bookmarkStart w:id="20" w:name="_Toc143691016"/>
      <w:r>
        <w:t>Berufsbild</w:t>
      </w:r>
      <w:bookmarkEnd w:id="18"/>
      <w:bookmarkEnd w:id="19"/>
      <w:bookmarkEnd w:id="20"/>
    </w:p>
    <w:p>
      <w:pPr>
        <w:spacing w:after="0"/>
        <w:rPr>
          <w:rFonts w:eastAsia="Calibri"/>
          <w:color w:val="FF0000"/>
          <w:szCs w:val="22"/>
          <w:lang w:eastAsia="en-US"/>
        </w:rPr>
      </w:pPr>
      <w:r>
        <w:rPr>
          <w:rFonts w:eastAsia="Calibri"/>
          <w:color w:val="FF0000"/>
          <w:szCs w:val="22"/>
          <w:lang w:eastAsia="en-US"/>
        </w:rPr>
        <w:t>[Einleitung zum Beruf]</w:t>
      </w:r>
    </w:p>
    <w:p>
      <w:pPr>
        <w:spacing w:before="240"/>
        <w:rPr>
          <w:b/>
          <w:sz w:val="24"/>
          <w:szCs w:val="24"/>
          <w:lang w:eastAsia="en-US"/>
        </w:rPr>
      </w:pPr>
      <w:bookmarkStart w:id="21" w:name="_Toc435427727"/>
      <w:bookmarkStart w:id="22" w:name="_Toc459320427"/>
      <w:r>
        <w:rPr>
          <w:b/>
          <w:sz w:val="24"/>
          <w:szCs w:val="24"/>
          <w:lang w:eastAsia="en-US"/>
        </w:rPr>
        <w:t>Arbeitsgebiet</w:t>
      </w:r>
      <w:bookmarkEnd w:id="21"/>
      <w:bookmarkEnd w:id="22"/>
    </w:p>
    <w:p>
      <w:pPr>
        <w:spacing w:after="0"/>
        <w:rPr>
          <w:rFonts w:eastAsia="Calibri"/>
          <w:color w:val="FF0000"/>
          <w:szCs w:val="22"/>
          <w:lang w:eastAsia="en-US"/>
        </w:rPr>
      </w:pPr>
      <w:r>
        <w:rPr>
          <w:rFonts w:eastAsia="Calibri"/>
          <w:color w:val="FF0000"/>
          <w:szCs w:val="22"/>
          <w:lang w:eastAsia="en-US"/>
        </w:rPr>
        <w:t>[Wer sind die Zielgruppen, Ansprechpartner, Kundinnen und Kunden?]</w:t>
      </w:r>
    </w:p>
    <w:p>
      <w:pPr>
        <w:spacing w:before="240"/>
        <w:rPr>
          <w:b/>
          <w:sz w:val="24"/>
          <w:szCs w:val="24"/>
          <w:lang w:eastAsia="en-US"/>
        </w:rPr>
      </w:pPr>
      <w:bookmarkStart w:id="23" w:name="_Toc435427728"/>
      <w:bookmarkStart w:id="24" w:name="_Toc459320428"/>
      <w:r>
        <w:rPr>
          <w:b/>
          <w:sz w:val="24"/>
          <w:szCs w:val="24"/>
          <w:lang w:eastAsia="en-US"/>
        </w:rPr>
        <w:t>Wichtigste Handlungskompetenzen</w:t>
      </w:r>
      <w:bookmarkEnd w:id="23"/>
      <w:bookmarkEnd w:id="24"/>
    </w:p>
    <w:p>
      <w:pPr>
        <w:spacing w:after="0" w:line="260" w:lineRule="atLeast"/>
        <w:rPr>
          <w:rFonts w:eastAsia="Calibri"/>
          <w:color w:val="FF0000"/>
          <w:szCs w:val="22"/>
          <w:lang w:eastAsia="en-US"/>
        </w:rPr>
      </w:pPr>
      <w:r>
        <w:rPr>
          <w:rFonts w:eastAsia="Calibri"/>
          <w:color w:val="FF0000"/>
          <w:szCs w:val="22"/>
          <w:lang w:eastAsia="en-US"/>
        </w:rPr>
        <w:t>[Evtl. Aussage zu Fachrichtungen]</w:t>
      </w:r>
    </w:p>
    <w:p>
      <w:pPr>
        <w:spacing w:before="240"/>
        <w:rPr>
          <w:b/>
          <w:sz w:val="24"/>
          <w:szCs w:val="24"/>
          <w:lang w:eastAsia="en-US"/>
        </w:rPr>
      </w:pPr>
      <w:bookmarkStart w:id="25" w:name="_Toc435427729"/>
      <w:bookmarkStart w:id="26" w:name="_Toc459320429"/>
      <w:r>
        <w:rPr>
          <w:b/>
          <w:sz w:val="24"/>
          <w:szCs w:val="24"/>
          <w:lang w:eastAsia="en-US"/>
        </w:rPr>
        <w:t>Berufsausübung</w:t>
      </w:r>
      <w:bookmarkEnd w:id="25"/>
      <w:bookmarkEnd w:id="26"/>
    </w:p>
    <w:p>
      <w:pPr>
        <w:spacing w:after="0"/>
        <w:rPr>
          <w:rFonts w:eastAsia="Calibri"/>
          <w:color w:val="FF0000"/>
          <w:szCs w:val="22"/>
          <w:lang w:eastAsia="en-US"/>
        </w:rPr>
      </w:pPr>
      <w:r>
        <w:rPr>
          <w:rFonts w:eastAsia="Calibri"/>
          <w:color w:val="FF0000"/>
          <w:szCs w:val="22"/>
          <w:lang w:eastAsia="en-US"/>
        </w:rPr>
        <w:t>[Eigenständigkeit, Kreativität / Innovation, Arbeitsumfeld, Arbeitsbedingungen]</w:t>
      </w:r>
    </w:p>
    <w:p>
      <w:pPr>
        <w:spacing w:before="240"/>
        <w:rPr>
          <w:b/>
          <w:sz w:val="24"/>
          <w:szCs w:val="24"/>
          <w:lang w:eastAsia="en-US"/>
        </w:rPr>
      </w:pPr>
      <w:bookmarkStart w:id="27" w:name="_Toc435427730"/>
      <w:bookmarkStart w:id="28" w:name="_Toc459320430"/>
      <w:r>
        <w:rPr>
          <w:b/>
          <w:sz w:val="24"/>
          <w:szCs w:val="24"/>
          <w:lang w:eastAsia="en-US"/>
        </w:rPr>
        <w:t>Bedeutung des Berufes für Gesellschaft, Wirtschaft, Natur und Kultur</w:t>
      </w:r>
      <w:bookmarkEnd w:id="27"/>
      <w:bookmarkEnd w:id="28"/>
    </w:p>
    <w:p>
      <w:pPr>
        <w:spacing w:after="0"/>
        <w:rPr>
          <w:rFonts w:eastAsia="Calibri"/>
          <w:color w:val="FF0000"/>
          <w:szCs w:val="22"/>
          <w:lang w:eastAsia="en-US"/>
        </w:rPr>
      </w:pPr>
      <w:r>
        <w:rPr>
          <w:rFonts w:eastAsia="Calibri"/>
          <w:color w:val="FF0000"/>
          <w:szCs w:val="22"/>
          <w:lang w:eastAsia="en-US"/>
        </w:rPr>
        <w:t>[Nachhaltigkeit]</w:t>
      </w:r>
    </w:p>
    <w:p>
      <w:pPr>
        <w:spacing w:before="240"/>
        <w:rPr>
          <w:b/>
          <w:sz w:val="24"/>
          <w:szCs w:val="24"/>
          <w:lang w:eastAsia="en-US"/>
        </w:rPr>
      </w:pPr>
      <w:bookmarkStart w:id="29" w:name="_Toc435427731"/>
      <w:bookmarkStart w:id="30" w:name="_Toc459320431"/>
      <w:r>
        <w:rPr>
          <w:b/>
          <w:sz w:val="24"/>
          <w:szCs w:val="24"/>
          <w:lang w:eastAsia="en-US"/>
        </w:rPr>
        <w:t>Allgemeinbildung</w:t>
      </w:r>
      <w:bookmarkEnd w:id="29"/>
      <w:bookmarkEnd w:id="30"/>
    </w:p>
    <w:p>
      <w:pPr>
        <w:spacing w:after="0" w:line="260" w:lineRule="atLeast"/>
        <w:rPr>
          <w:rFonts w:eastAsia="Calibri"/>
          <w:color w:val="FF0000"/>
          <w:szCs w:val="22"/>
          <w:lang w:eastAsia="en-US"/>
        </w:rPr>
      </w:pPr>
      <w:r>
        <w:rPr>
          <w:rFonts w:eastAsia="Calibri"/>
          <w:color w:val="FF0000"/>
          <w:szCs w:val="22"/>
          <w:lang w:eastAsia="en-US"/>
        </w:rPr>
        <w:t>[Text zur Tiefe der Allgemeinbildung]</w:t>
      </w:r>
    </w:p>
    <w:p>
      <w:pPr>
        <w:spacing w:after="0" w:line="260" w:lineRule="atLeast"/>
        <w:rPr>
          <w:rFonts w:eastAsia="Calibri"/>
          <w:szCs w:val="22"/>
          <w:lang w:eastAsia="en-US"/>
        </w:rPr>
      </w:pPr>
    </w:p>
    <w:p>
      <w:pPr>
        <w:spacing w:after="0" w:line="260" w:lineRule="atLeast"/>
        <w:rPr>
          <w:rFonts w:eastAsia="Calibri"/>
          <w:color w:val="FF0000"/>
          <w:szCs w:val="22"/>
          <w:lang w:eastAsia="en-US"/>
        </w:rPr>
        <w:sectPr>
          <w:headerReference w:type="first" r:id="rId18"/>
          <w:pgSz w:w="11907" w:h="16839" w:code="9"/>
          <w:pgMar w:top="1276" w:right="1134" w:bottom="851" w:left="1189" w:header="680" w:footer="346" w:gutter="0"/>
          <w:cols w:space="708"/>
          <w:titlePg/>
          <w:docGrid w:linePitch="360"/>
        </w:sectPr>
      </w:pPr>
    </w:p>
    <w:p>
      <w:pPr>
        <w:pStyle w:val="berschrift2"/>
        <w:numPr>
          <w:ilvl w:val="1"/>
          <w:numId w:val="41"/>
        </w:numPr>
        <w:ind w:left="567" w:hanging="567"/>
      </w:pPr>
      <w:bookmarkStart w:id="31" w:name="_Toc435427732"/>
      <w:bookmarkStart w:id="32" w:name="_Toc459320432"/>
      <w:bookmarkStart w:id="33" w:name="_Toc143691017"/>
      <w:r>
        <w:lastRenderedPageBreak/>
        <w:t>Übersicht der Handlungskompetenzen</w:t>
      </w:r>
      <w:bookmarkEnd w:id="31"/>
      <w:bookmarkEnd w:id="32"/>
      <w:bookmarkEnd w:id="33"/>
    </w:p>
    <w:tbl>
      <w:tblPr>
        <w:tblW w:w="0" w:type="auto"/>
        <w:tblInd w:w="51" w:type="dxa"/>
        <w:tblLook w:val="04A0" w:firstRow="1" w:lastRow="0" w:firstColumn="1" w:lastColumn="0" w:noHBand="0" w:noVBand="1"/>
      </w:tblPr>
      <w:tblGrid>
        <w:gridCol w:w="328"/>
        <w:gridCol w:w="2449"/>
        <w:gridCol w:w="1642"/>
        <w:gridCol w:w="1642"/>
        <w:gridCol w:w="1642"/>
        <w:gridCol w:w="1642"/>
        <w:gridCol w:w="1642"/>
        <w:gridCol w:w="1642"/>
        <w:gridCol w:w="1642"/>
      </w:tblGrid>
      <w:tr>
        <w:trPr>
          <w:trHeight w:val="313"/>
        </w:trPr>
        <w:tc>
          <w:tcPr>
            <w:tcW w:w="2777" w:type="dxa"/>
            <w:gridSpan w:val="2"/>
            <w:tcBorders>
              <w:top w:val="single" w:sz="4" w:space="0" w:color="auto"/>
              <w:left w:val="single" w:sz="4" w:space="0" w:color="auto"/>
              <w:right w:val="single" w:sz="4" w:space="0" w:color="auto"/>
            </w:tcBorders>
            <w:shd w:val="clear" w:color="auto" w:fill="99FF99"/>
            <w:vAlign w:val="center"/>
          </w:tcPr>
          <w:p>
            <w:pPr>
              <w:spacing w:before="120"/>
              <w:rPr>
                <w:rFonts w:eastAsia="Calibri"/>
                <w:b/>
                <w:lang w:eastAsia="en-US"/>
              </w:rPr>
            </w:pPr>
            <w:bookmarkStart w:id="34" w:name="_Hlk138072949"/>
            <w:r>
              <w:rPr>
                <w:rFonts w:eastAsia="Calibri"/>
                <w:b/>
                <w:lang w:eastAsia="en-US"/>
              </w:rPr>
              <w:sym w:font="Wingdings" w:char="F0E2"/>
            </w:r>
            <w:r>
              <w:rPr>
                <w:rFonts w:eastAsia="Calibri"/>
                <w:b/>
                <w:lang w:eastAsia="en-US"/>
              </w:rPr>
              <w:t xml:space="preserve"> Handlungskompetenzbereiche</w:t>
            </w:r>
          </w:p>
        </w:tc>
        <w:tc>
          <w:tcPr>
            <w:tcW w:w="11494" w:type="dxa"/>
            <w:gridSpan w:val="7"/>
            <w:tcBorders>
              <w:top w:val="single" w:sz="4" w:space="0" w:color="auto"/>
              <w:left w:val="single" w:sz="4" w:space="0" w:color="auto"/>
              <w:right w:val="single" w:sz="4" w:space="0" w:color="auto"/>
            </w:tcBorders>
            <w:shd w:val="clear" w:color="auto" w:fill="FFFF99"/>
            <w:vAlign w:val="center"/>
          </w:tcPr>
          <w:p>
            <w:pPr>
              <w:spacing w:before="120"/>
              <w:rPr>
                <w:rFonts w:eastAsia="Calibri"/>
                <w:b/>
                <w:lang w:eastAsia="en-US"/>
              </w:rPr>
            </w:pPr>
            <w:r>
              <w:rPr>
                <w:rFonts w:eastAsia="Calibri"/>
                <w:b/>
                <w:lang w:eastAsia="en-US"/>
              </w:rPr>
              <w:t xml:space="preserve">Handlungskompetenzen </w:t>
            </w:r>
            <w:r>
              <w:rPr>
                <w:rFonts w:eastAsia="Calibri"/>
                <w:b/>
                <w:lang w:eastAsia="en-US"/>
              </w:rPr>
              <w:sym w:font="Wingdings" w:char="F0E0"/>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spacing w:after="0"/>
              <w:jc w:val="center"/>
              <w:rPr>
                <w:rFonts w:eastAsia="Calibri"/>
                <w:b/>
                <w:sz w:val="16"/>
                <w:szCs w:val="16"/>
                <w:lang w:eastAsia="en-US"/>
              </w:rPr>
            </w:pPr>
            <w:r>
              <w:rPr>
                <w:rFonts w:eastAsia="Calibri"/>
                <w:b/>
                <w:sz w:val="16"/>
                <w:szCs w:val="16"/>
                <w:lang w:eastAsia="en-US"/>
              </w:rPr>
              <w:t>a</w:t>
            </w:r>
          </w:p>
        </w:tc>
        <w:tc>
          <w:tcPr>
            <w:tcW w:w="2449" w:type="dxa"/>
            <w:vMerge w:val="restart"/>
            <w:shd w:val="clear" w:color="auto" w:fill="99FF99"/>
            <w:vAlign w:val="center"/>
          </w:tcPr>
          <w:p>
            <w:pPr>
              <w:spacing w:after="0"/>
              <w:rPr>
                <w:rFonts w:eastAsia="Calibri"/>
                <w:sz w:val="16"/>
                <w:szCs w:val="16"/>
                <w:lang w:eastAsia="en-US"/>
              </w:rPr>
            </w:pPr>
            <w:r>
              <w:rPr>
                <w:rFonts w:eastAsia="Calibri"/>
                <w:sz w:val="16"/>
                <w:szCs w:val="16"/>
                <w:lang w:eastAsia="en-US"/>
              </w:rPr>
              <w:t>Handlungskompetenzbereich</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a1: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a2: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a3: Handlungskompetenz</w:t>
            </w:r>
          </w:p>
        </w:tc>
        <w:tc>
          <w:tcPr>
            <w:tcW w:w="1642" w:type="dxa"/>
            <w:vMerge w:val="restart"/>
            <w:shd w:val="clear" w:color="auto" w:fill="auto"/>
          </w:tcPr>
          <w:p>
            <w:pPr>
              <w:spacing w:after="0"/>
              <w:rPr>
                <w:rFonts w:eastAsia="Calibri"/>
                <w:sz w:val="16"/>
                <w:szCs w:val="16"/>
                <w:lang w:eastAsia="en-US"/>
              </w:rPr>
            </w:pPr>
          </w:p>
        </w:tc>
        <w:tc>
          <w:tcPr>
            <w:tcW w:w="1642" w:type="dxa"/>
            <w:vMerge w:val="restart"/>
            <w:shd w:val="clear" w:color="auto" w:fill="auto"/>
          </w:tcPr>
          <w:p>
            <w:pPr>
              <w:spacing w:after="0"/>
              <w:rPr>
                <w:rFonts w:eastAsia="Calibri"/>
                <w:sz w:val="16"/>
                <w:szCs w:val="16"/>
                <w:lang w:eastAsia="en-US"/>
              </w:rPr>
            </w:pPr>
          </w:p>
        </w:tc>
        <w:tc>
          <w:tcPr>
            <w:tcW w:w="1642" w:type="dxa"/>
            <w:vMerge w:val="restart"/>
            <w:shd w:val="clear" w:color="auto" w:fill="auto"/>
          </w:tcPr>
          <w:p>
            <w:pPr>
              <w:spacing w:after="0"/>
              <w:rPr>
                <w:rFonts w:eastAsia="Calibri"/>
                <w:sz w:val="16"/>
                <w:szCs w:val="16"/>
                <w:lang w:eastAsia="en-US"/>
              </w:rPr>
            </w:pPr>
          </w:p>
        </w:tc>
        <w:tc>
          <w:tcPr>
            <w:tcW w:w="1642" w:type="dxa"/>
            <w:vMerge w:val="restart"/>
            <w:shd w:val="clear" w:color="auto" w:fill="auto"/>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spacing w:after="0"/>
              <w:jc w:val="center"/>
              <w:rPr>
                <w:rFonts w:eastAsia="Calibri"/>
                <w:b/>
                <w:sz w:val="16"/>
                <w:szCs w:val="16"/>
                <w:lang w:eastAsia="en-US"/>
              </w:rPr>
            </w:pPr>
          </w:p>
        </w:tc>
        <w:tc>
          <w:tcPr>
            <w:tcW w:w="2449" w:type="dxa"/>
            <w:vMerge/>
            <w:shd w:val="clear" w:color="auto" w:fill="99FF99"/>
            <w:vAlign w:val="center"/>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spacing w:after="0"/>
              <w:jc w:val="center"/>
              <w:rPr>
                <w:rFonts w:eastAsia="Calibri"/>
                <w:b/>
                <w:sz w:val="16"/>
                <w:szCs w:val="16"/>
                <w:lang w:eastAsia="en-US"/>
              </w:rPr>
            </w:pPr>
            <w:r>
              <w:rPr>
                <w:rFonts w:eastAsia="Calibri"/>
                <w:b/>
                <w:sz w:val="16"/>
                <w:szCs w:val="16"/>
                <w:lang w:eastAsia="en-US"/>
              </w:rPr>
              <w:t>b</w:t>
            </w:r>
          </w:p>
        </w:tc>
        <w:tc>
          <w:tcPr>
            <w:tcW w:w="2449" w:type="dxa"/>
            <w:vMerge w:val="restart"/>
            <w:shd w:val="clear" w:color="auto" w:fill="99FF99"/>
            <w:vAlign w:val="center"/>
          </w:tcPr>
          <w:p>
            <w:pPr>
              <w:spacing w:after="0"/>
              <w:rPr>
                <w:rFonts w:eastAsia="Calibri"/>
                <w:sz w:val="16"/>
                <w:szCs w:val="16"/>
                <w:lang w:eastAsia="en-US"/>
              </w:rPr>
            </w:pPr>
            <w:r>
              <w:rPr>
                <w:rFonts w:eastAsia="Calibri"/>
                <w:sz w:val="16"/>
                <w:szCs w:val="16"/>
                <w:lang w:eastAsia="en-US"/>
              </w:rPr>
              <w:t>Handlungskompetenzbereich</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b1: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b2: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b3: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b4: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b5: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b6: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b7: Handlungskompetenz</w:t>
            </w: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spacing w:after="0"/>
              <w:jc w:val="center"/>
              <w:rPr>
                <w:rFonts w:eastAsia="Calibri"/>
                <w:b/>
                <w:sz w:val="16"/>
                <w:szCs w:val="16"/>
                <w:lang w:eastAsia="en-US"/>
              </w:rPr>
            </w:pPr>
          </w:p>
        </w:tc>
        <w:tc>
          <w:tcPr>
            <w:tcW w:w="2449" w:type="dxa"/>
            <w:vMerge/>
            <w:shd w:val="clear" w:color="auto" w:fill="99FF99"/>
            <w:vAlign w:val="center"/>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spacing w:after="0"/>
              <w:jc w:val="center"/>
              <w:rPr>
                <w:rFonts w:eastAsia="Calibri"/>
                <w:b/>
                <w:sz w:val="16"/>
                <w:szCs w:val="16"/>
                <w:lang w:eastAsia="en-US"/>
              </w:rPr>
            </w:pPr>
            <w:r>
              <w:rPr>
                <w:rFonts w:eastAsia="Calibri"/>
                <w:b/>
                <w:sz w:val="16"/>
                <w:szCs w:val="16"/>
                <w:lang w:eastAsia="en-US"/>
              </w:rPr>
              <w:t>c</w:t>
            </w:r>
          </w:p>
        </w:tc>
        <w:tc>
          <w:tcPr>
            <w:tcW w:w="2449" w:type="dxa"/>
            <w:vMerge w:val="restart"/>
            <w:shd w:val="clear" w:color="auto" w:fill="99FF99"/>
            <w:vAlign w:val="center"/>
          </w:tcPr>
          <w:p>
            <w:pPr>
              <w:spacing w:after="0"/>
              <w:rPr>
                <w:rFonts w:eastAsia="Calibri"/>
                <w:sz w:val="16"/>
                <w:szCs w:val="16"/>
                <w:lang w:eastAsia="en-US"/>
              </w:rPr>
            </w:pPr>
            <w:r>
              <w:rPr>
                <w:rFonts w:eastAsia="Calibri"/>
                <w:sz w:val="16"/>
                <w:szCs w:val="16"/>
                <w:lang w:eastAsia="en-US"/>
              </w:rPr>
              <w:t>Handlungskompetenzbereich</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c1: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c2: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c3: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c4: Handlungskompetenz</w:t>
            </w:r>
          </w:p>
        </w:tc>
        <w:tc>
          <w:tcPr>
            <w:tcW w:w="1642" w:type="dxa"/>
            <w:vMerge w:val="restart"/>
            <w:shd w:val="clear" w:color="auto" w:fill="auto"/>
          </w:tcPr>
          <w:p>
            <w:pPr>
              <w:spacing w:after="0"/>
              <w:rPr>
                <w:rFonts w:eastAsia="Calibri"/>
                <w:sz w:val="16"/>
                <w:szCs w:val="16"/>
                <w:lang w:eastAsia="en-US"/>
              </w:rPr>
            </w:pPr>
          </w:p>
        </w:tc>
        <w:tc>
          <w:tcPr>
            <w:tcW w:w="1642" w:type="dxa"/>
            <w:vMerge w:val="restart"/>
            <w:shd w:val="clear" w:color="auto" w:fill="auto"/>
          </w:tcPr>
          <w:p>
            <w:pPr>
              <w:spacing w:after="0"/>
              <w:rPr>
                <w:rFonts w:eastAsia="Calibri"/>
                <w:sz w:val="16"/>
                <w:szCs w:val="16"/>
                <w:lang w:eastAsia="en-US"/>
              </w:rPr>
            </w:pPr>
          </w:p>
        </w:tc>
        <w:tc>
          <w:tcPr>
            <w:tcW w:w="1642" w:type="dxa"/>
            <w:vMerge w:val="restart"/>
            <w:shd w:val="clear" w:color="auto" w:fill="auto"/>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spacing w:after="0"/>
              <w:jc w:val="center"/>
              <w:rPr>
                <w:rFonts w:eastAsia="Calibri"/>
                <w:b/>
                <w:sz w:val="16"/>
                <w:szCs w:val="16"/>
                <w:lang w:eastAsia="en-US"/>
              </w:rPr>
            </w:pPr>
          </w:p>
        </w:tc>
        <w:tc>
          <w:tcPr>
            <w:tcW w:w="2449" w:type="dxa"/>
            <w:vMerge/>
            <w:shd w:val="clear" w:color="auto" w:fill="99FF99"/>
            <w:vAlign w:val="center"/>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spacing w:after="0"/>
              <w:jc w:val="center"/>
              <w:rPr>
                <w:rFonts w:eastAsia="Calibri"/>
                <w:b/>
                <w:sz w:val="16"/>
                <w:szCs w:val="16"/>
                <w:lang w:eastAsia="en-US"/>
              </w:rPr>
            </w:pPr>
            <w:r>
              <w:rPr>
                <w:rFonts w:eastAsia="Calibri"/>
                <w:b/>
                <w:sz w:val="16"/>
                <w:szCs w:val="16"/>
                <w:lang w:eastAsia="en-US"/>
              </w:rPr>
              <w:t>d</w:t>
            </w:r>
          </w:p>
        </w:tc>
        <w:tc>
          <w:tcPr>
            <w:tcW w:w="2449" w:type="dxa"/>
            <w:vMerge w:val="restart"/>
            <w:shd w:val="clear" w:color="auto" w:fill="99FF99"/>
            <w:vAlign w:val="center"/>
          </w:tcPr>
          <w:p>
            <w:pPr>
              <w:spacing w:after="0"/>
              <w:rPr>
                <w:rFonts w:eastAsia="Calibri"/>
                <w:sz w:val="16"/>
                <w:szCs w:val="16"/>
                <w:lang w:eastAsia="en-US"/>
              </w:rPr>
            </w:pPr>
            <w:r>
              <w:rPr>
                <w:rFonts w:eastAsia="Calibri"/>
                <w:sz w:val="16"/>
                <w:szCs w:val="16"/>
                <w:lang w:eastAsia="en-US"/>
              </w:rPr>
              <w:t>Handlungskompetenzbereich</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d1: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d2: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d3: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d4: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d5: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d6: Handlungskompetenz</w:t>
            </w:r>
          </w:p>
        </w:tc>
        <w:tc>
          <w:tcPr>
            <w:tcW w:w="1642" w:type="dxa"/>
            <w:vMerge w:val="restart"/>
            <w:shd w:val="clear" w:color="auto" w:fill="auto"/>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spacing w:after="0"/>
              <w:jc w:val="center"/>
              <w:rPr>
                <w:rFonts w:eastAsia="Calibri"/>
                <w:b/>
                <w:sz w:val="16"/>
                <w:szCs w:val="16"/>
                <w:lang w:eastAsia="en-US"/>
              </w:rPr>
            </w:pPr>
          </w:p>
        </w:tc>
        <w:tc>
          <w:tcPr>
            <w:tcW w:w="2449" w:type="dxa"/>
            <w:vMerge/>
            <w:shd w:val="clear" w:color="auto" w:fill="99FF99"/>
            <w:vAlign w:val="center"/>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val="restart"/>
            <w:shd w:val="clear" w:color="auto" w:fill="FABF8F"/>
            <w:vAlign w:val="center"/>
          </w:tcPr>
          <w:p>
            <w:pPr>
              <w:spacing w:after="0"/>
              <w:jc w:val="center"/>
              <w:rPr>
                <w:rFonts w:eastAsia="Calibri"/>
                <w:b/>
                <w:sz w:val="16"/>
                <w:szCs w:val="16"/>
                <w:lang w:eastAsia="en-US"/>
              </w:rPr>
            </w:pPr>
            <w:r>
              <w:rPr>
                <w:rFonts w:eastAsia="Calibri"/>
                <w:b/>
                <w:sz w:val="16"/>
                <w:szCs w:val="16"/>
                <w:lang w:eastAsia="en-US"/>
              </w:rPr>
              <w:t>e</w:t>
            </w:r>
          </w:p>
        </w:tc>
        <w:tc>
          <w:tcPr>
            <w:tcW w:w="2449" w:type="dxa"/>
            <w:vMerge w:val="restart"/>
            <w:shd w:val="clear" w:color="auto" w:fill="99FF99"/>
            <w:vAlign w:val="center"/>
          </w:tcPr>
          <w:p>
            <w:pPr>
              <w:spacing w:after="0"/>
              <w:rPr>
                <w:rFonts w:eastAsia="Calibri"/>
                <w:sz w:val="16"/>
                <w:szCs w:val="16"/>
                <w:lang w:eastAsia="en-US"/>
              </w:rPr>
            </w:pPr>
            <w:r>
              <w:rPr>
                <w:rFonts w:eastAsia="Calibri"/>
                <w:sz w:val="16"/>
                <w:szCs w:val="16"/>
                <w:lang w:eastAsia="en-US"/>
              </w:rPr>
              <w:t>Handlungskompetenzbereich</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e1: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e2: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e3: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e4: Handlungskompetenz</w:t>
            </w:r>
          </w:p>
        </w:tc>
        <w:tc>
          <w:tcPr>
            <w:tcW w:w="1642" w:type="dxa"/>
            <w:vMerge w:val="restart"/>
            <w:shd w:val="clear" w:color="auto" w:fill="FFFF99"/>
          </w:tcPr>
          <w:p>
            <w:pPr>
              <w:spacing w:after="0"/>
              <w:rPr>
                <w:rFonts w:eastAsia="Calibri"/>
                <w:sz w:val="16"/>
                <w:szCs w:val="16"/>
                <w:lang w:eastAsia="en-US"/>
              </w:rPr>
            </w:pPr>
            <w:r>
              <w:rPr>
                <w:rFonts w:eastAsia="Calibri"/>
                <w:sz w:val="16"/>
                <w:szCs w:val="16"/>
                <w:lang w:eastAsia="en-US"/>
              </w:rPr>
              <w:t>e5: Handlungskompetenz</w:t>
            </w:r>
          </w:p>
        </w:tc>
        <w:tc>
          <w:tcPr>
            <w:tcW w:w="1642" w:type="dxa"/>
            <w:vMerge w:val="restart"/>
            <w:shd w:val="clear" w:color="auto" w:fill="auto"/>
          </w:tcPr>
          <w:p>
            <w:pPr>
              <w:spacing w:after="0"/>
              <w:rPr>
                <w:rFonts w:eastAsia="Calibri"/>
                <w:sz w:val="16"/>
                <w:szCs w:val="16"/>
                <w:lang w:eastAsia="en-US"/>
              </w:rPr>
            </w:pPr>
          </w:p>
        </w:tc>
        <w:tc>
          <w:tcPr>
            <w:tcW w:w="1642" w:type="dxa"/>
            <w:vMerge w:val="restart"/>
            <w:shd w:val="clear" w:color="auto" w:fill="auto"/>
          </w:tcPr>
          <w:p>
            <w:pPr>
              <w:spacing w:after="0"/>
              <w:rPr>
                <w:rFonts w:eastAsia="Calibri"/>
                <w:sz w:val="16"/>
                <w:szCs w:val="16"/>
                <w:lang w:eastAsia="en-US"/>
              </w:rPr>
            </w:pPr>
          </w:p>
        </w:tc>
      </w:tr>
      <w:tr>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PrEx>
        <w:trPr>
          <w:trHeight w:val="509"/>
        </w:trPr>
        <w:tc>
          <w:tcPr>
            <w:tcW w:w="328" w:type="dxa"/>
            <w:vMerge/>
            <w:shd w:val="clear" w:color="auto" w:fill="FABF8F"/>
            <w:vAlign w:val="center"/>
          </w:tcPr>
          <w:p>
            <w:pPr>
              <w:spacing w:after="0"/>
              <w:jc w:val="center"/>
              <w:rPr>
                <w:rFonts w:eastAsia="Calibri"/>
                <w:b/>
                <w:sz w:val="16"/>
                <w:szCs w:val="16"/>
                <w:lang w:eastAsia="en-US"/>
              </w:rPr>
            </w:pPr>
          </w:p>
        </w:tc>
        <w:tc>
          <w:tcPr>
            <w:tcW w:w="2449" w:type="dxa"/>
            <w:vMerge/>
            <w:shd w:val="clear" w:color="auto" w:fill="99FF99"/>
            <w:vAlign w:val="center"/>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FFFF99"/>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c>
          <w:tcPr>
            <w:tcW w:w="1642" w:type="dxa"/>
            <w:vMerge/>
            <w:shd w:val="clear" w:color="auto" w:fill="auto"/>
          </w:tcPr>
          <w:p>
            <w:pPr>
              <w:spacing w:after="0"/>
              <w:rPr>
                <w:rFonts w:eastAsia="Calibri"/>
                <w:sz w:val="16"/>
                <w:szCs w:val="16"/>
                <w:lang w:eastAsia="en-US"/>
              </w:rPr>
            </w:pPr>
          </w:p>
        </w:tc>
      </w:tr>
    </w:tbl>
    <w:p>
      <w:pPr>
        <w:pStyle w:val="berschrift2"/>
        <w:numPr>
          <w:ilvl w:val="1"/>
          <w:numId w:val="41"/>
        </w:numPr>
        <w:ind w:left="567" w:hanging="567"/>
      </w:pPr>
      <w:bookmarkStart w:id="35" w:name="_Toc435427733"/>
      <w:bookmarkStart w:id="36" w:name="_Toc459320433"/>
      <w:bookmarkStart w:id="37" w:name="_Toc143691018"/>
      <w:bookmarkEnd w:id="34"/>
      <w:r>
        <w:t>Anforderungsniveau des Berufes</w:t>
      </w:r>
      <w:bookmarkEnd w:id="35"/>
      <w:bookmarkEnd w:id="36"/>
      <w:bookmarkEnd w:id="37"/>
    </w:p>
    <w:p>
      <w:pPr>
        <w:spacing w:after="0" w:line="260" w:lineRule="atLeast"/>
        <w:rPr>
          <w:rFonts w:eastAsia="Calibri"/>
          <w:szCs w:val="22"/>
          <w:lang w:eastAsia="en-US"/>
        </w:rPr>
      </w:pPr>
      <w:r>
        <w:rPr>
          <w:rFonts w:eastAsia="Calibri"/>
          <w:szCs w:val="22"/>
          <w:lang w:eastAsia="en-US"/>
        </w:rPr>
        <w:t>Das Anforderungsniveau des Berufes ist im Bildungsplan mit den zu den Handlungskompetenzen zählenden Leistungszielen an den drei Lernorten weiter beschrieben. Zusätzlich zu den Handlungskompetenzen wird die Allgemeinbildung gemäss Verordnung des SBFI vom 27. April 2006 über Mindestvorschriften für die Allgemeinbildung in der beruflichen Grundbildung vermittelt (SR 412.101.241).</w:t>
      </w:r>
    </w:p>
    <w:p>
      <w:pPr>
        <w:pStyle w:val="berschrift1"/>
        <w:numPr>
          <w:ilvl w:val="0"/>
          <w:numId w:val="18"/>
        </w:numPr>
        <w:spacing w:before="480"/>
        <w:sectPr>
          <w:headerReference w:type="first" r:id="rId19"/>
          <w:pgSz w:w="16839" w:h="11907" w:orient="landscape" w:code="9"/>
          <w:pgMar w:top="1191" w:right="1418" w:bottom="1134" w:left="851" w:header="680" w:footer="346" w:gutter="0"/>
          <w:cols w:space="708"/>
          <w:titlePg/>
          <w:docGrid w:linePitch="360"/>
        </w:sectPr>
      </w:pPr>
    </w:p>
    <w:p>
      <w:pPr>
        <w:pStyle w:val="berschrift1"/>
      </w:pPr>
      <w:bookmarkStart w:id="38" w:name="_Toc459320434"/>
      <w:bookmarkStart w:id="39" w:name="_Toc143691019"/>
      <w:r>
        <w:lastRenderedPageBreak/>
        <w:t>4. Handlungskompetenzbereiche, Handlungskompetenzen und Leistungsziele je Lernort</w:t>
      </w:r>
      <w:bookmarkEnd w:id="38"/>
      <w:bookmarkEnd w:id="39"/>
    </w:p>
    <w:p>
      <w:pPr>
        <w:spacing w:before="60"/>
      </w:pPr>
      <w:r>
        <w:t xml:space="preserve">In diesem Kapitel werden die in Handlungskompetenzbereiche gruppierten Handlungskompetenzen und die Leistungsziele je Lernort beschrieben. Die im Anhang aufgeführten Instrumente zur Förderung der Qualität unterstützen die Umsetzung der beruflichen Grundbildung und fördern die Kooperation der drei Lernorte.  </w:t>
      </w:r>
    </w:p>
    <w:p>
      <w:pPr>
        <w:pStyle w:val="berschrift2"/>
      </w:pPr>
      <w:bookmarkStart w:id="40" w:name="_Toc143691020"/>
      <w:r>
        <w:t>4.1 Handlungskompetenzbereich a</w:t>
      </w:r>
      <w:bookmarkEnd w:id="4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360"/>
      </w:tblGrid>
      <w:tr>
        <w:tc>
          <w:tcPr>
            <w:tcW w:w="9360" w:type="dxa"/>
            <w:tcBorders>
              <w:top w:val="single" w:sz="4" w:space="0" w:color="auto"/>
              <w:left w:val="single" w:sz="4" w:space="0" w:color="auto"/>
              <w:bottom w:val="single" w:sz="4" w:space="0" w:color="auto"/>
              <w:right w:val="single" w:sz="4" w:space="0" w:color="auto"/>
            </w:tcBorders>
          </w:tcPr>
          <w:p>
            <w:pPr>
              <w:jc w:val="both"/>
            </w:pPr>
            <w:r>
              <w:rPr>
                <w:color w:val="FF0000"/>
              </w:rPr>
              <w:t>[Aufführen Handlungskompetenzbereich gemäss Qualifikationsprofil]</w:t>
            </w:r>
            <w:r>
              <w:t xml:space="preserve"> </w:t>
            </w:r>
          </w:p>
          <w:p>
            <w:pPr>
              <w:jc w:val="both"/>
              <w:rPr>
                <w:color w:val="FF0000"/>
              </w:rPr>
            </w:pPr>
            <w:r>
              <w:rPr>
                <w:color w:val="FF0000"/>
              </w:rPr>
              <w:t>[Text]</w:t>
            </w:r>
          </w:p>
        </w:tc>
      </w:tr>
    </w:tbl>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360"/>
      </w:tblGrid>
      <w:tr>
        <w:tc>
          <w:tcPr>
            <w:tcW w:w="9360" w:type="dxa"/>
            <w:tcBorders>
              <w:top w:val="single" w:sz="4" w:space="0" w:color="auto"/>
              <w:left w:val="single" w:sz="4" w:space="0" w:color="auto"/>
              <w:bottom w:val="single" w:sz="4" w:space="0" w:color="auto"/>
              <w:right w:val="single" w:sz="4" w:space="0" w:color="auto"/>
            </w:tcBorders>
            <w:hideMark/>
          </w:tcPr>
          <w:p>
            <w:pPr>
              <w:jc w:val="both"/>
            </w:pPr>
            <w:r>
              <w:rPr>
                <w:b/>
                <w:bCs/>
              </w:rPr>
              <w:t xml:space="preserve">Handlungskompetenz a1: </w:t>
            </w:r>
            <w:r>
              <w:rPr>
                <w:color w:val="FF0000"/>
              </w:rPr>
              <w:t xml:space="preserve"> [Aufführen Handlungskompetenz gemäss Qualifikationsprofil]</w:t>
            </w:r>
            <w:r>
              <w:t xml:space="preserve"> </w:t>
            </w:r>
          </w:p>
          <w:p>
            <w:pPr>
              <w:jc w:val="both"/>
              <w:rPr>
                <w:sz w:val="24"/>
                <w:lang w:eastAsia="de-DE"/>
              </w:rPr>
            </w:pPr>
            <w:r>
              <w:rPr>
                <w:color w:val="FF0000"/>
              </w:rPr>
              <w:t>[Umschreiben der Handlungskompetenz in Form einer Alltagssituation]</w:t>
            </w:r>
          </w:p>
        </w:tc>
      </w:tr>
    </w:tbl>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3120"/>
        <w:gridCol w:w="3120"/>
        <w:gridCol w:w="3120"/>
      </w:tblGrid>
      <w:tr>
        <w:tc>
          <w:tcPr>
            <w:tcW w:w="3120" w:type="dxa"/>
            <w:tcBorders>
              <w:top w:val="single" w:sz="4" w:space="0" w:color="auto"/>
              <w:left w:val="single" w:sz="4" w:space="0" w:color="auto"/>
              <w:bottom w:val="single" w:sz="4" w:space="0" w:color="auto"/>
              <w:right w:val="single" w:sz="4" w:space="0" w:color="auto"/>
            </w:tcBorders>
            <w:hideMark/>
          </w:tcPr>
          <w:p>
            <w:pPr>
              <w:rPr>
                <w:b/>
                <w:bCs/>
                <w:sz w:val="24"/>
                <w:lang w:eastAsia="de-DE"/>
              </w:rPr>
            </w:pPr>
            <w:r>
              <w:rPr>
                <w:b/>
                <w:bCs/>
              </w:rPr>
              <w:t>Leistungsziele Betrieb</w:t>
            </w:r>
          </w:p>
        </w:tc>
        <w:tc>
          <w:tcPr>
            <w:tcW w:w="3120" w:type="dxa"/>
            <w:tcBorders>
              <w:top w:val="single" w:sz="4" w:space="0" w:color="auto"/>
              <w:left w:val="single" w:sz="4" w:space="0" w:color="auto"/>
              <w:bottom w:val="single" w:sz="4" w:space="0" w:color="auto"/>
              <w:right w:val="single" w:sz="4" w:space="0" w:color="auto"/>
            </w:tcBorders>
            <w:hideMark/>
          </w:tcPr>
          <w:p>
            <w:pPr>
              <w:rPr>
                <w:b/>
                <w:bCs/>
                <w:sz w:val="24"/>
                <w:lang w:eastAsia="de-DE"/>
              </w:rPr>
            </w:pPr>
            <w:r>
              <w:rPr>
                <w:b/>
                <w:bCs/>
              </w:rPr>
              <w:t>Leistungsziele Berufsfachschule</w:t>
            </w:r>
          </w:p>
        </w:tc>
        <w:tc>
          <w:tcPr>
            <w:tcW w:w="3120" w:type="dxa"/>
            <w:tcBorders>
              <w:top w:val="single" w:sz="4" w:space="0" w:color="auto"/>
              <w:left w:val="single" w:sz="4" w:space="0" w:color="auto"/>
              <w:bottom w:val="single" w:sz="4" w:space="0" w:color="auto"/>
              <w:right w:val="single" w:sz="4" w:space="0" w:color="auto"/>
            </w:tcBorders>
            <w:hideMark/>
          </w:tcPr>
          <w:p>
            <w:pPr>
              <w:rPr>
                <w:b/>
                <w:bCs/>
                <w:sz w:val="24"/>
                <w:lang w:eastAsia="de-DE"/>
              </w:rPr>
            </w:pPr>
            <w:r>
              <w:rPr>
                <w:b/>
                <w:bCs/>
              </w:rPr>
              <w:t>Leistungsziele überbetrieblicher Kurs</w:t>
            </w:r>
          </w:p>
        </w:tc>
      </w:tr>
      <w:tr>
        <w:tc>
          <w:tcPr>
            <w:tcW w:w="3120" w:type="dxa"/>
            <w:tcBorders>
              <w:top w:val="single" w:sz="4" w:space="0" w:color="auto"/>
              <w:left w:val="single" w:sz="4" w:space="0" w:color="auto"/>
              <w:bottom w:val="single" w:sz="4" w:space="0" w:color="auto"/>
              <w:right w:val="single" w:sz="4" w:space="0" w:color="auto"/>
            </w:tcBorders>
          </w:tcPr>
          <w:p>
            <w:pPr>
              <w:rPr>
                <w:sz w:val="24"/>
                <w:lang w:eastAsia="de-DE"/>
              </w:rPr>
            </w:pPr>
            <w:r>
              <w:rPr>
                <w:color w:val="FF0000"/>
              </w:rPr>
              <w:t>[Nummer]</w:t>
            </w:r>
            <w:r>
              <w:t xml:space="preserve"> </w:t>
            </w:r>
            <w:r>
              <w:rPr>
                <w:b/>
                <w:color w:val="FF0000"/>
              </w:rPr>
              <w:t>[Text Leistungsziel]</w:t>
            </w:r>
            <w:r>
              <w:rPr>
                <w:b/>
              </w:rPr>
              <w:t xml:space="preserve"> </w:t>
            </w:r>
          </w:p>
          <w:p>
            <w:pPr>
              <w:rPr>
                <w:color w:val="FF0000"/>
                <w:sz w:val="24"/>
                <w:lang w:eastAsia="de-DE"/>
              </w:rPr>
            </w:pPr>
            <w:r>
              <w:rPr>
                <w:color w:val="FF0000"/>
              </w:rPr>
              <w:t>(K 1-6)</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pPr>
              <w:rPr>
                <w:sz w:val="24"/>
                <w:lang w:eastAsia="de-DE"/>
              </w:rPr>
            </w:pPr>
            <w:r>
              <w:rPr>
                <w:color w:val="FF0000"/>
              </w:rPr>
              <w:t>[Nummer]</w:t>
            </w:r>
            <w:r>
              <w:t xml:space="preserve"> </w:t>
            </w:r>
            <w:r>
              <w:rPr>
                <w:b/>
                <w:color w:val="FF0000"/>
              </w:rPr>
              <w:t>[Text Leistungsziel]</w:t>
            </w:r>
            <w:r>
              <w:rPr>
                <w:b/>
              </w:rPr>
              <w:t xml:space="preserve"> </w:t>
            </w:r>
          </w:p>
          <w:p>
            <w:pPr>
              <w:ind w:left="1"/>
              <w:rPr>
                <w:color w:val="FF0000"/>
                <w:sz w:val="24"/>
                <w:lang w:eastAsia="de-DE"/>
              </w:rPr>
            </w:pPr>
            <w:r>
              <w:rPr>
                <w:color w:val="FF0000"/>
              </w:rPr>
              <w:t>(K 1-6)</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pPr>
              <w:rPr>
                <w:sz w:val="24"/>
                <w:lang w:eastAsia="de-DE"/>
              </w:rPr>
            </w:pPr>
            <w:r>
              <w:rPr>
                <w:color w:val="FF0000"/>
              </w:rPr>
              <w:t>[Nummer]</w:t>
            </w:r>
            <w:r>
              <w:t xml:space="preserve"> </w:t>
            </w:r>
            <w:r>
              <w:rPr>
                <w:b/>
                <w:color w:val="FF0000"/>
              </w:rPr>
              <w:t>[Text Leistungsziel]</w:t>
            </w:r>
            <w:r>
              <w:rPr>
                <w:b/>
              </w:rPr>
              <w:t xml:space="preserve"> </w:t>
            </w:r>
          </w:p>
          <w:p>
            <w:pPr>
              <w:rPr>
                <w:color w:val="FF0000"/>
                <w:sz w:val="24"/>
                <w:lang w:eastAsia="de-DE"/>
              </w:rPr>
            </w:pPr>
            <w:r>
              <w:rPr>
                <w:color w:val="FF0000"/>
              </w:rPr>
              <w:t>(K 1-6)</w:t>
            </w:r>
          </w:p>
        </w:tc>
      </w:tr>
    </w:tbl>
    <w:p>
      <w:pPr>
        <w:spacing w:before="60"/>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9360"/>
      </w:tblGrid>
      <w:tr>
        <w:tc>
          <w:tcPr>
            <w:tcW w:w="9360" w:type="dxa"/>
            <w:tcBorders>
              <w:top w:val="single" w:sz="4" w:space="0" w:color="auto"/>
              <w:left w:val="single" w:sz="4" w:space="0" w:color="auto"/>
              <w:bottom w:val="single" w:sz="4" w:space="0" w:color="auto"/>
              <w:right w:val="single" w:sz="4" w:space="0" w:color="auto"/>
            </w:tcBorders>
            <w:hideMark/>
          </w:tcPr>
          <w:p>
            <w:pPr>
              <w:jc w:val="both"/>
              <w:rPr>
                <w:color w:val="FF0000"/>
              </w:rPr>
            </w:pPr>
            <w:r>
              <w:rPr>
                <w:b/>
                <w:bCs/>
              </w:rPr>
              <w:t xml:space="preserve">Handlungskompetenz a2: </w:t>
            </w:r>
            <w:r>
              <w:rPr>
                <w:color w:val="FF0000"/>
              </w:rPr>
              <w:t xml:space="preserve"> [Aufführen Handlungskompetenz gemäss Qualifikationsprofil]</w:t>
            </w:r>
          </w:p>
          <w:p>
            <w:pPr>
              <w:jc w:val="both"/>
            </w:pPr>
            <w:r>
              <w:rPr>
                <w:color w:val="FF0000"/>
              </w:rPr>
              <w:t>[Umschreiben der Handlungskompetenz in Form einer Alltagssituation]</w:t>
            </w:r>
          </w:p>
        </w:tc>
      </w:tr>
    </w:tbl>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bottom w:w="113" w:type="dxa"/>
          <w:right w:w="113" w:type="dxa"/>
        </w:tblCellMar>
        <w:tblLook w:val="01E0" w:firstRow="1" w:lastRow="1" w:firstColumn="1" w:lastColumn="1" w:noHBand="0" w:noVBand="0"/>
      </w:tblPr>
      <w:tblGrid>
        <w:gridCol w:w="3120"/>
        <w:gridCol w:w="3120"/>
        <w:gridCol w:w="3120"/>
      </w:tblGrid>
      <w:tr>
        <w:trPr>
          <w:trHeight w:val="342"/>
        </w:trPr>
        <w:tc>
          <w:tcPr>
            <w:tcW w:w="3120" w:type="dxa"/>
            <w:tcBorders>
              <w:top w:val="single" w:sz="4" w:space="0" w:color="auto"/>
              <w:left w:val="single" w:sz="4" w:space="0" w:color="auto"/>
              <w:bottom w:val="single" w:sz="4" w:space="0" w:color="auto"/>
              <w:right w:val="single" w:sz="4" w:space="0" w:color="auto"/>
            </w:tcBorders>
            <w:hideMark/>
          </w:tcPr>
          <w:p>
            <w:pPr>
              <w:rPr>
                <w:b/>
                <w:bCs/>
                <w:sz w:val="24"/>
                <w:lang w:eastAsia="de-DE"/>
              </w:rPr>
            </w:pPr>
            <w:r>
              <w:rPr>
                <w:b/>
                <w:bCs/>
              </w:rPr>
              <w:t>Leistungsziele Betrieb</w:t>
            </w:r>
          </w:p>
        </w:tc>
        <w:tc>
          <w:tcPr>
            <w:tcW w:w="3120" w:type="dxa"/>
            <w:tcBorders>
              <w:top w:val="single" w:sz="4" w:space="0" w:color="auto"/>
              <w:left w:val="single" w:sz="4" w:space="0" w:color="auto"/>
              <w:bottom w:val="single" w:sz="4" w:space="0" w:color="auto"/>
              <w:right w:val="single" w:sz="4" w:space="0" w:color="auto"/>
            </w:tcBorders>
            <w:hideMark/>
          </w:tcPr>
          <w:p>
            <w:pPr>
              <w:rPr>
                <w:b/>
                <w:bCs/>
                <w:sz w:val="24"/>
                <w:lang w:eastAsia="de-DE"/>
              </w:rPr>
            </w:pPr>
            <w:r>
              <w:rPr>
                <w:b/>
                <w:bCs/>
              </w:rPr>
              <w:t>Leistungsziele Berufsfachschule</w:t>
            </w:r>
          </w:p>
        </w:tc>
        <w:tc>
          <w:tcPr>
            <w:tcW w:w="3120" w:type="dxa"/>
            <w:tcBorders>
              <w:top w:val="single" w:sz="4" w:space="0" w:color="auto"/>
              <w:left w:val="single" w:sz="4" w:space="0" w:color="auto"/>
              <w:bottom w:val="single" w:sz="4" w:space="0" w:color="auto"/>
              <w:right w:val="single" w:sz="4" w:space="0" w:color="auto"/>
            </w:tcBorders>
            <w:hideMark/>
          </w:tcPr>
          <w:p>
            <w:pPr>
              <w:rPr>
                <w:b/>
                <w:bCs/>
                <w:sz w:val="24"/>
                <w:lang w:eastAsia="de-DE"/>
              </w:rPr>
            </w:pPr>
            <w:r>
              <w:rPr>
                <w:b/>
                <w:bCs/>
              </w:rPr>
              <w:t>Leistungsziele überbetrieblicher Kurs</w:t>
            </w:r>
          </w:p>
        </w:tc>
      </w:tr>
      <w:tr>
        <w:tc>
          <w:tcPr>
            <w:tcW w:w="3120" w:type="dxa"/>
            <w:tcBorders>
              <w:top w:val="single" w:sz="4" w:space="0" w:color="auto"/>
              <w:left w:val="single" w:sz="4" w:space="0" w:color="auto"/>
              <w:bottom w:val="single" w:sz="4" w:space="0" w:color="auto"/>
              <w:right w:val="single" w:sz="4" w:space="0" w:color="auto"/>
            </w:tcBorders>
          </w:tcPr>
          <w:p>
            <w:pPr>
              <w:rPr>
                <w:sz w:val="24"/>
                <w:lang w:eastAsia="de-DE"/>
              </w:rPr>
            </w:pPr>
            <w:r>
              <w:rPr>
                <w:color w:val="FF0000"/>
              </w:rPr>
              <w:t>[Nummer]</w:t>
            </w:r>
            <w:r>
              <w:t xml:space="preserve"> </w:t>
            </w:r>
            <w:r>
              <w:rPr>
                <w:b/>
                <w:color w:val="FF0000"/>
              </w:rPr>
              <w:t>[Text Leistungsziel]</w:t>
            </w:r>
            <w:r>
              <w:rPr>
                <w:b/>
              </w:rPr>
              <w:t xml:space="preserve"> </w:t>
            </w:r>
          </w:p>
          <w:p>
            <w:pPr>
              <w:rPr>
                <w:color w:val="FF0000"/>
                <w:sz w:val="24"/>
                <w:lang w:eastAsia="de-DE"/>
              </w:rPr>
            </w:pPr>
            <w:r>
              <w:rPr>
                <w:color w:val="FF0000"/>
              </w:rPr>
              <w:t>(K 1-6)</w:t>
            </w:r>
          </w:p>
        </w:tc>
        <w:tc>
          <w:tcPr>
            <w:tcW w:w="3120" w:type="dxa"/>
            <w:tcBorders>
              <w:top w:val="single" w:sz="4" w:space="0" w:color="auto"/>
              <w:left w:val="single" w:sz="4" w:space="0" w:color="auto"/>
              <w:bottom w:val="single" w:sz="4" w:space="0" w:color="auto"/>
              <w:right w:val="single" w:sz="4" w:space="0" w:color="auto"/>
            </w:tcBorders>
            <w:shd w:val="clear" w:color="auto" w:fill="FFFFFF"/>
            <w:hideMark/>
          </w:tcPr>
          <w:p>
            <w:pPr>
              <w:rPr>
                <w:sz w:val="24"/>
                <w:lang w:eastAsia="de-DE"/>
              </w:rPr>
            </w:pPr>
            <w:r>
              <w:rPr>
                <w:color w:val="FF0000"/>
              </w:rPr>
              <w:t>[Nummer]</w:t>
            </w:r>
            <w:r>
              <w:t xml:space="preserve"> </w:t>
            </w:r>
            <w:r>
              <w:rPr>
                <w:b/>
                <w:color w:val="FF0000"/>
              </w:rPr>
              <w:t>[Text Leistungsziel]</w:t>
            </w:r>
            <w:r>
              <w:rPr>
                <w:b/>
              </w:rPr>
              <w:t xml:space="preserve"> </w:t>
            </w:r>
          </w:p>
          <w:p>
            <w:pPr>
              <w:ind w:left="1"/>
              <w:rPr>
                <w:color w:val="FF0000"/>
                <w:sz w:val="24"/>
                <w:lang w:eastAsia="de-DE"/>
              </w:rPr>
            </w:pPr>
            <w:r>
              <w:rPr>
                <w:color w:val="FF0000"/>
              </w:rPr>
              <w:t>(K 1-6)</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pPr>
              <w:rPr>
                <w:sz w:val="24"/>
                <w:lang w:eastAsia="de-DE"/>
              </w:rPr>
            </w:pPr>
            <w:r>
              <w:rPr>
                <w:color w:val="FF0000"/>
              </w:rPr>
              <w:t>[Nummer]</w:t>
            </w:r>
            <w:r>
              <w:t xml:space="preserve"> </w:t>
            </w:r>
            <w:r>
              <w:rPr>
                <w:b/>
                <w:color w:val="FF0000"/>
              </w:rPr>
              <w:t>[Text Leistungsziel]</w:t>
            </w:r>
            <w:r>
              <w:rPr>
                <w:b/>
              </w:rPr>
              <w:t xml:space="preserve"> </w:t>
            </w:r>
          </w:p>
          <w:p>
            <w:pPr>
              <w:rPr>
                <w:color w:val="FF0000"/>
                <w:sz w:val="24"/>
                <w:lang w:eastAsia="de-DE"/>
              </w:rPr>
            </w:pPr>
            <w:r>
              <w:rPr>
                <w:color w:val="FF0000"/>
              </w:rPr>
              <w:t>(K 1-6)</w:t>
            </w:r>
          </w:p>
        </w:tc>
      </w:tr>
    </w:tbl>
    <w:p>
      <w:pPr>
        <w:pStyle w:val="berschrift2"/>
        <w:spacing w:before="0"/>
        <w:rPr>
          <w:sz w:val="20"/>
          <w:szCs w:val="20"/>
        </w:rPr>
      </w:pPr>
    </w:p>
    <w:p>
      <w:pPr>
        <w:pStyle w:val="berschrift2"/>
      </w:pPr>
      <w:bookmarkStart w:id="41" w:name="_Toc143691021"/>
      <w:r>
        <w:t>4.</w:t>
      </w:r>
      <w:r>
        <w:t>2</w:t>
      </w:r>
      <w:r>
        <w:t xml:space="preserve"> </w:t>
      </w:r>
      <w:r>
        <w:t>Handlungskompetenzbereich b: […]</w:t>
      </w:r>
      <w:bookmarkEnd w:id="41"/>
    </w:p>
    <w:p>
      <w:pPr>
        <w:pStyle w:val="berschrift2"/>
      </w:pPr>
      <w:bookmarkStart w:id="42" w:name="_Toc143691022"/>
      <w:r>
        <w:t>4.</w:t>
      </w:r>
      <w:r>
        <w:t>3</w:t>
      </w:r>
      <w:r>
        <w:t xml:space="preserve"> </w:t>
      </w:r>
      <w:r>
        <w:t>Handlungskompetenzbereich c: […]</w:t>
      </w:r>
      <w:bookmarkEnd w:id="42"/>
    </w:p>
    <w:p>
      <w:pPr>
        <w:pStyle w:val="berschrift1"/>
      </w:pPr>
      <w:r>
        <w:br w:type="page"/>
      </w:r>
      <w:bookmarkStart w:id="43" w:name="_Toc459320435"/>
      <w:bookmarkStart w:id="44" w:name="_Toc143691023"/>
      <w:r>
        <w:lastRenderedPageBreak/>
        <w:t>Erstellung</w:t>
      </w:r>
      <w:bookmarkEnd w:id="43"/>
      <w:bookmarkEnd w:id="44"/>
    </w:p>
    <w:p>
      <w:pPr>
        <w:autoSpaceDE w:val="0"/>
        <w:autoSpaceDN w:val="0"/>
        <w:adjustRightInd w:val="0"/>
        <w:spacing w:after="0"/>
        <w:rPr>
          <w:rFonts w:eastAsia="Century Gothic" w:cs="Arial"/>
          <w:color w:val="000000"/>
        </w:rPr>
      </w:pPr>
      <w:r>
        <w:rPr>
          <w:rFonts w:eastAsia="Century Gothic" w:cs="Arial"/>
          <w:color w:val="000000"/>
        </w:rPr>
        <w:t xml:space="preserve">Der Bildungsplan wurde von </w:t>
      </w:r>
      <w:r>
        <w:rPr>
          <w:rFonts w:eastAsia="Century Gothic" w:cs="Arial"/>
          <w:color w:val="FF0000"/>
        </w:rPr>
        <w:t>[der/den]</w:t>
      </w:r>
      <w:r>
        <w:rPr>
          <w:rFonts w:eastAsia="Century Gothic" w:cs="Arial"/>
          <w:color w:val="000000"/>
        </w:rPr>
        <w:t xml:space="preserve"> unterzeichnenden Organisation</w:t>
      </w:r>
      <w:r>
        <w:rPr>
          <w:rFonts w:eastAsia="Century Gothic" w:cs="Arial"/>
          <w:color w:val="FF0000"/>
        </w:rPr>
        <w:t>[en]</w:t>
      </w:r>
      <w:r>
        <w:rPr>
          <w:rFonts w:eastAsia="Century Gothic" w:cs="Arial"/>
          <w:color w:val="000000"/>
        </w:rPr>
        <w:t xml:space="preserve"> der Arbeitswelt erstellt. Er bezieht sich auf die Verordnung des SBFI vom </w:t>
      </w:r>
      <w:r>
        <w:rPr>
          <w:rFonts w:eastAsia="Century Gothic" w:cs="Arial"/>
          <w:color w:val="FF0000"/>
        </w:rPr>
        <w:t xml:space="preserve">[Erlassdatum </w:t>
      </w:r>
      <w:proofErr w:type="spellStart"/>
      <w:r>
        <w:rPr>
          <w:rFonts w:eastAsia="Century Gothic" w:cs="Arial"/>
          <w:color w:val="FF0000"/>
        </w:rPr>
        <w:t>BiVo</w:t>
      </w:r>
      <w:proofErr w:type="spellEnd"/>
      <w:r>
        <w:rPr>
          <w:rFonts w:eastAsia="Century Gothic" w:cs="Arial"/>
          <w:color w:val="FF0000"/>
        </w:rPr>
        <w:t>]</w:t>
      </w:r>
      <w:r>
        <w:rPr>
          <w:rFonts w:eastAsia="Century Gothic" w:cs="Arial"/>
          <w:color w:val="000000"/>
        </w:rPr>
        <w:t xml:space="preserve"> über die berufliche Grundbildung für </w:t>
      </w:r>
      <w:r>
        <w:rPr>
          <w:rFonts w:eastAsia="Century Gothic" w:cs="Arial"/>
          <w:color w:val="FF0000"/>
        </w:rPr>
        <w:t>[Titel w / Titel m]</w:t>
      </w:r>
      <w:r>
        <w:rPr>
          <w:rFonts w:eastAsia="Century Gothic" w:cs="Arial"/>
          <w:color w:val="000000"/>
        </w:rPr>
        <w:t>.</w:t>
      </w:r>
    </w:p>
    <w:p>
      <w:pPr>
        <w:autoSpaceDE w:val="0"/>
        <w:autoSpaceDN w:val="0"/>
        <w:adjustRightInd w:val="0"/>
        <w:spacing w:before="240" w:after="0"/>
        <w:rPr>
          <w:color w:val="548DD4"/>
        </w:rPr>
      </w:pPr>
      <w:r>
        <w:rPr>
          <w:color w:val="548DD4"/>
        </w:rPr>
        <w:t xml:space="preserve">Bei Totalrevision </w:t>
      </w:r>
      <w:proofErr w:type="spellStart"/>
      <w:r>
        <w:rPr>
          <w:color w:val="548DD4"/>
        </w:rPr>
        <w:t>BiVo</w:t>
      </w:r>
      <w:proofErr w:type="spellEnd"/>
      <w:r>
        <w:rPr>
          <w:color w:val="548DD4"/>
        </w:rPr>
        <w:t>/</w:t>
      </w:r>
      <w:proofErr w:type="spellStart"/>
      <w:r>
        <w:rPr>
          <w:color w:val="548DD4"/>
        </w:rPr>
        <w:t>BiPla</w:t>
      </w:r>
      <w:proofErr w:type="spellEnd"/>
    </w:p>
    <w:p>
      <w:pPr>
        <w:autoSpaceDE w:val="0"/>
        <w:autoSpaceDN w:val="0"/>
        <w:adjustRightInd w:val="0"/>
        <w:spacing w:after="0"/>
        <w:rPr>
          <w:rFonts w:eastAsia="Century Gothic" w:cs="Arial"/>
          <w:i/>
          <w:color w:val="000000"/>
        </w:rPr>
      </w:pPr>
      <w:r>
        <w:rPr>
          <w:rFonts w:eastAsia="Century Gothic" w:cs="Arial"/>
          <w:color w:val="FF0000"/>
        </w:rPr>
        <w:t>[Der Bildungsplan orientiert sich an den Übergangsbestimmungen der Bildungsverordnung</w:t>
      </w:r>
      <w:r>
        <w:rPr>
          <w:rFonts w:eastAsia="Century Gothic" w:cs="Arial"/>
          <w:i/>
          <w:color w:val="FF0000"/>
        </w:rPr>
        <w:t>.</w:t>
      </w:r>
      <w:r>
        <w:rPr>
          <w:rFonts w:eastAsia="Century Gothic" w:cs="Arial"/>
          <w:color w:val="FF0000"/>
        </w:rPr>
        <w:t>]</w:t>
      </w:r>
    </w:p>
    <w:p>
      <w:pPr>
        <w:autoSpaceDE w:val="0"/>
        <w:autoSpaceDN w:val="0"/>
        <w:adjustRightInd w:val="0"/>
        <w:spacing w:before="720" w:after="0"/>
        <w:rPr>
          <w:rFonts w:eastAsia="Century Gothic" w:cs="Arial"/>
          <w:color w:val="FF0000"/>
        </w:rPr>
      </w:pPr>
      <w:r>
        <w:rPr>
          <w:rFonts w:eastAsia="Century Gothic" w:cs="Arial"/>
          <w:color w:val="FF0000"/>
        </w:rPr>
        <w:t>[Ort, Datum]</w:t>
      </w:r>
    </w:p>
    <w:p>
      <w:pPr>
        <w:autoSpaceDE w:val="0"/>
        <w:autoSpaceDN w:val="0"/>
        <w:adjustRightInd w:val="0"/>
        <w:spacing w:before="240" w:after="0"/>
        <w:rPr>
          <w:rFonts w:eastAsia="Century Gothic" w:cs="Arial"/>
          <w:color w:val="FF0000"/>
        </w:rPr>
      </w:pPr>
      <w:r>
        <w:rPr>
          <w:rFonts w:eastAsia="Century Gothic" w:cs="Arial"/>
          <w:color w:val="FF0000"/>
        </w:rPr>
        <w:t xml:space="preserve">[Name der </w:t>
      </w:r>
      <w:proofErr w:type="spellStart"/>
      <w:r>
        <w:rPr>
          <w:rFonts w:eastAsia="Century Gothic" w:cs="Arial"/>
          <w:color w:val="FF0000"/>
        </w:rPr>
        <w:t>OdA</w:t>
      </w:r>
      <w:proofErr w:type="spellEnd"/>
      <w:r>
        <w:rPr>
          <w:rFonts w:eastAsia="Century Gothic" w:cs="Arial"/>
          <w:color w:val="FF0000"/>
        </w:rPr>
        <w:t xml:space="preserve">] </w:t>
      </w:r>
    </w:p>
    <w:p>
      <w:pPr>
        <w:tabs>
          <w:tab w:val="left" w:pos="5103"/>
        </w:tabs>
        <w:autoSpaceDE w:val="0"/>
        <w:autoSpaceDN w:val="0"/>
        <w:adjustRightInd w:val="0"/>
        <w:spacing w:before="240" w:after="0"/>
        <w:rPr>
          <w:rFonts w:eastAsia="Century Gothic" w:cs="Arial"/>
        </w:rPr>
      </w:pPr>
      <w:bookmarkStart w:id="45" w:name="_Hlk138068438"/>
      <w:r>
        <w:rPr>
          <w:rFonts w:eastAsia="Century Gothic" w:cs="Arial"/>
        </w:rPr>
        <w:t>Die Präsidentin</w:t>
      </w:r>
      <w:r>
        <w:rPr>
          <w:rFonts w:eastAsia="Century Gothic" w:cs="Arial"/>
          <w:color w:val="FF0000"/>
        </w:rPr>
        <w:t>/der Präsident</w:t>
      </w:r>
      <w:r>
        <w:rPr>
          <w:rFonts w:eastAsia="Century Gothic" w:cs="Arial"/>
        </w:rPr>
        <w:tab/>
      </w:r>
      <w:r>
        <w:rPr>
          <w:rFonts w:eastAsia="Century Gothic" w:cs="Arial"/>
          <w:color w:val="FF0000"/>
        </w:rPr>
        <w:t>die Geschäftsführerin</w:t>
      </w:r>
      <w:r>
        <w:rPr>
          <w:rFonts w:eastAsia="Century Gothic" w:cs="Arial"/>
        </w:rPr>
        <w:t>/der Geschäftsführer</w:t>
      </w:r>
    </w:p>
    <w:p>
      <w:pPr>
        <w:tabs>
          <w:tab w:val="left" w:pos="5103"/>
        </w:tabs>
        <w:autoSpaceDE w:val="0"/>
        <w:autoSpaceDN w:val="0"/>
        <w:adjustRightInd w:val="0"/>
        <w:spacing w:before="600" w:after="0"/>
        <w:rPr>
          <w:rFonts w:eastAsia="Century Gothic" w:cs="Arial"/>
          <w:color w:val="FF0000"/>
        </w:rPr>
      </w:pPr>
      <w:r>
        <w:rPr>
          <w:rFonts w:eastAsia="Century Gothic" w:cs="Arial"/>
          <w:color w:val="FF0000"/>
        </w:rPr>
        <w:t xml:space="preserve">[Vorname, Name, Präsident/in der </w:t>
      </w:r>
      <w:proofErr w:type="spellStart"/>
      <w:r>
        <w:rPr>
          <w:rFonts w:eastAsia="Century Gothic" w:cs="Arial"/>
          <w:color w:val="FF0000"/>
        </w:rPr>
        <w:t>OdA</w:t>
      </w:r>
      <w:proofErr w:type="spellEnd"/>
      <w:r>
        <w:rPr>
          <w:rFonts w:eastAsia="Century Gothic" w:cs="Arial"/>
          <w:color w:val="FF0000"/>
        </w:rPr>
        <w:t>]</w:t>
      </w:r>
      <w:r>
        <w:rPr>
          <w:rFonts w:eastAsia="Century Gothic" w:cs="Arial"/>
          <w:color w:val="FF0000"/>
        </w:rPr>
        <w:tab/>
        <w:t xml:space="preserve">[Vorname/Name Geschäftsführer/in </w:t>
      </w:r>
      <w:proofErr w:type="spellStart"/>
      <w:r>
        <w:rPr>
          <w:rFonts w:eastAsia="Century Gothic" w:cs="Arial"/>
          <w:color w:val="FF0000"/>
        </w:rPr>
        <w:t>OdA</w:t>
      </w:r>
      <w:proofErr w:type="spellEnd"/>
      <w:r>
        <w:rPr>
          <w:rFonts w:eastAsia="Century Gothic" w:cs="Arial"/>
          <w:color w:val="FF0000"/>
        </w:rPr>
        <w:t>]</w:t>
      </w:r>
    </w:p>
    <w:bookmarkEnd w:id="45"/>
    <w:p>
      <w:pPr>
        <w:autoSpaceDE w:val="0"/>
        <w:autoSpaceDN w:val="0"/>
        <w:adjustRightInd w:val="0"/>
        <w:spacing w:before="840" w:after="0"/>
        <w:rPr>
          <w:rFonts w:eastAsia="Century Gothic" w:cs="Arial"/>
          <w:color w:val="000000"/>
        </w:rPr>
      </w:pPr>
      <w:r>
        <w:rPr>
          <w:rFonts w:eastAsia="Century Gothic" w:cs="Arial"/>
          <w:color w:val="000000"/>
        </w:rPr>
        <w:t>Das SBFI stimmt dem Bildungsplan nach Prüfung zu.</w:t>
      </w:r>
    </w:p>
    <w:p>
      <w:pPr>
        <w:autoSpaceDE w:val="0"/>
        <w:autoSpaceDN w:val="0"/>
        <w:adjustRightInd w:val="0"/>
        <w:spacing w:before="600" w:after="0"/>
        <w:rPr>
          <w:rFonts w:eastAsia="Century Gothic" w:cs="Arial"/>
          <w:color w:val="FF0000"/>
        </w:rPr>
      </w:pPr>
      <w:r>
        <w:rPr>
          <w:rFonts w:eastAsia="Century Gothic" w:cs="Arial"/>
          <w:color w:val="000000"/>
        </w:rPr>
        <w:t xml:space="preserve">Bern, </w:t>
      </w:r>
      <w:r>
        <w:rPr>
          <w:rFonts w:eastAsia="Century Gothic" w:cs="Arial"/>
          <w:color w:val="FF0000"/>
        </w:rPr>
        <w:t>[Datum/Stempel]</w:t>
      </w:r>
    </w:p>
    <w:p>
      <w:pPr>
        <w:autoSpaceDE w:val="0"/>
        <w:autoSpaceDN w:val="0"/>
        <w:adjustRightInd w:val="0"/>
        <w:spacing w:before="480" w:after="0"/>
        <w:rPr>
          <w:rFonts w:eastAsia="Century Gothic" w:cs="Arial"/>
        </w:rPr>
      </w:pPr>
      <w:r>
        <w:rPr>
          <w:rFonts w:eastAsia="Century Gothic" w:cs="Arial"/>
        </w:rPr>
        <w:t>Staatssekretariat für Bildung,</w:t>
      </w:r>
    </w:p>
    <w:p>
      <w:pPr>
        <w:autoSpaceDE w:val="0"/>
        <w:autoSpaceDN w:val="0"/>
        <w:adjustRightInd w:val="0"/>
        <w:spacing w:after="0"/>
        <w:rPr>
          <w:rFonts w:eastAsia="Century Gothic" w:cs="Arial"/>
          <w:highlight w:val="yellow"/>
        </w:rPr>
      </w:pPr>
      <w:r>
        <w:rPr>
          <w:rFonts w:eastAsia="Century Gothic" w:cs="Arial"/>
        </w:rPr>
        <w:t>Forschung und Innovation</w:t>
      </w:r>
    </w:p>
    <w:p>
      <w:pPr>
        <w:autoSpaceDE w:val="0"/>
        <w:autoSpaceDN w:val="0"/>
        <w:adjustRightInd w:val="0"/>
        <w:spacing w:before="600" w:after="0"/>
        <w:rPr>
          <w:rFonts w:eastAsia="Century Gothic" w:cs="Arial"/>
        </w:rPr>
      </w:pPr>
      <w:r>
        <w:rPr>
          <w:rFonts w:eastAsia="Century Gothic" w:cs="Arial"/>
        </w:rPr>
        <w:t>Rémy Hübschi</w:t>
      </w:r>
    </w:p>
    <w:p>
      <w:pPr>
        <w:autoSpaceDE w:val="0"/>
        <w:autoSpaceDN w:val="0"/>
        <w:adjustRightInd w:val="0"/>
        <w:spacing w:after="0"/>
        <w:rPr>
          <w:rFonts w:eastAsia="Century Gothic" w:cs="Arial"/>
        </w:rPr>
      </w:pPr>
      <w:r>
        <w:rPr>
          <w:rFonts w:eastAsia="Century Gothic" w:cs="Arial"/>
        </w:rPr>
        <w:t>Stellvertretender Direktor</w:t>
      </w:r>
    </w:p>
    <w:p>
      <w:pPr>
        <w:autoSpaceDE w:val="0"/>
        <w:autoSpaceDN w:val="0"/>
        <w:adjustRightInd w:val="0"/>
        <w:spacing w:after="240"/>
        <w:rPr>
          <w:rFonts w:eastAsia="Century Gothic" w:cs="Arial"/>
        </w:rPr>
      </w:pPr>
      <w:r>
        <w:rPr>
          <w:rFonts w:eastAsia="Century Gothic" w:cs="Arial"/>
        </w:rPr>
        <w:t>Leiter Abteilung Berufs- und Weiterbildung</w:t>
      </w:r>
    </w:p>
    <w:p>
      <w:pPr>
        <w:pStyle w:val="berschrift1"/>
        <w:spacing w:after="360"/>
      </w:pPr>
      <w:r>
        <w:rPr>
          <w:rFonts w:eastAsia="Century Gothic" w:cs="Arial"/>
          <w:highlight w:val="yellow"/>
        </w:rPr>
        <w:br w:type="page"/>
      </w:r>
      <w:bookmarkStart w:id="46" w:name="_Toc459320436"/>
      <w:bookmarkStart w:id="47" w:name="_Toc143691024"/>
      <w:r>
        <w:lastRenderedPageBreak/>
        <w:t>Anhang 1: Verzeichnis der Instrumente zur Sicherstellung und Umsetzung der beruflichen Grundbildung sowie zur Förderung der Qualität</w:t>
      </w:r>
      <w:bookmarkEnd w:id="46"/>
      <w:bookmarkEnd w:id="4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0"/>
        <w:gridCol w:w="4414"/>
      </w:tblGrid>
      <w:tr>
        <w:tc>
          <w:tcPr>
            <w:tcW w:w="505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SimSun" w:cs="Arial"/>
                <w:b/>
                <w:bCs/>
                <w:sz w:val="22"/>
                <w:szCs w:val="22"/>
                <w:lang w:eastAsia="zh-CN"/>
              </w:rPr>
            </w:pPr>
            <w:r>
              <w:rPr>
                <w:rFonts w:eastAsia="SimSun" w:cs="Arial"/>
                <w:b/>
                <w:bCs/>
                <w:sz w:val="22"/>
                <w:szCs w:val="22"/>
                <w:lang w:eastAsia="zh-CN"/>
              </w:rPr>
              <w:t>Dokumente</w:t>
            </w:r>
          </w:p>
        </w:tc>
        <w:tc>
          <w:tcPr>
            <w:tcW w:w="4414" w:type="dxa"/>
            <w:tcBorders>
              <w:top w:val="single" w:sz="4" w:space="0" w:color="auto"/>
              <w:left w:val="single" w:sz="4" w:space="0" w:color="auto"/>
              <w:bottom w:val="single" w:sz="4" w:space="0" w:color="auto"/>
              <w:right w:val="single" w:sz="4" w:space="0" w:color="auto"/>
            </w:tcBorders>
            <w:hideMark/>
          </w:tcPr>
          <w:p>
            <w:pPr>
              <w:spacing w:before="60" w:after="60"/>
              <w:rPr>
                <w:rFonts w:cs="Arial"/>
                <w:b/>
                <w:bCs/>
                <w:sz w:val="22"/>
                <w:szCs w:val="22"/>
                <w:lang w:eastAsia="de-DE"/>
              </w:rPr>
            </w:pPr>
            <w:r>
              <w:rPr>
                <w:rFonts w:eastAsia="SimSun" w:cs="Arial"/>
                <w:b/>
                <w:bCs/>
                <w:sz w:val="22"/>
                <w:szCs w:val="22"/>
                <w:lang w:eastAsia="zh-CN"/>
              </w:rPr>
              <w:t>Bezugsquelle</w:t>
            </w:r>
          </w:p>
        </w:tc>
      </w:tr>
      <w:tr>
        <w:tc>
          <w:tcPr>
            <w:tcW w:w="505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cs="Arial"/>
                <w:sz w:val="18"/>
                <w:szCs w:val="18"/>
                <w:lang w:eastAsia="de-DE"/>
              </w:rPr>
            </w:pPr>
            <w:r>
              <w:rPr>
                <w:rFonts w:eastAsia="SimSun" w:cs="Arial"/>
                <w:sz w:val="18"/>
                <w:szCs w:val="18"/>
                <w:lang w:eastAsia="zh-CN"/>
              </w:rPr>
              <w:t xml:space="preserve">Verordnung des SBFI über die berufliche Grundbildung für </w:t>
            </w:r>
            <w:r>
              <w:rPr>
                <w:rFonts w:eastAsia="SimSun" w:cs="Arial"/>
                <w:color w:val="FF0000"/>
                <w:sz w:val="18"/>
                <w:szCs w:val="18"/>
                <w:lang w:eastAsia="zh-CN"/>
              </w:rPr>
              <w:t>[Titel w/Titel m]</w:t>
            </w:r>
          </w:p>
        </w:tc>
        <w:tc>
          <w:tcPr>
            <w:tcW w:w="441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SimSun" w:cs="Arial"/>
                <w:i/>
                <w:iCs/>
                <w:sz w:val="18"/>
                <w:szCs w:val="18"/>
                <w:lang w:eastAsia="zh-CN"/>
              </w:rPr>
            </w:pPr>
            <w:r>
              <w:rPr>
                <w:rFonts w:eastAsia="SimSun" w:cs="Arial"/>
                <w:i/>
                <w:iCs/>
                <w:sz w:val="18"/>
                <w:szCs w:val="18"/>
                <w:lang w:eastAsia="zh-CN"/>
              </w:rPr>
              <w:t xml:space="preserve">Elektronisch </w:t>
            </w:r>
          </w:p>
          <w:p>
            <w:pPr>
              <w:autoSpaceDE w:val="0"/>
              <w:autoSpaceDN w:val="0"/>
              <w:adjustRightInd w:val="0"/>
              <w:spacing w:after="0"/>
              <w:rPr>
                <w:rFonts w:eastAsia="SimSun" w:cs="Arial"/>
                <w:sz w:val="18"/>
                <w:szCs w:val="18"/>
                <w:lang w:eastAsia="zh-CN"/>
              </w:rPr>
            </w:pPr>
            <w:r>
              <w:rPr>
                <w:rFonts w:eastAsia="SimSun" w:cs="Arial"/>
                <w:sz w:val="18"/>
                <w:szCs w:val="18"/>
                <w:lang w:eastAsia="zh-CN"/>
              </w:rPr>
              <w:t xml:space="preserve">Staatssekretariat für Bildung, </w:t>
            </w:r>
          </w:p>
          <w:p>
            <w:pPr>
              <w:autoSpaceDE w:val="0"/>
              <w:autoSpaceDN w:val="0"/>
              <w:adjustRightInd w:val="0"/>
              <w:spacing w:after="0"/>
              <w:rPr>
                <w:rFonts w:eastAsia="SimSun" w:cs="Arial"/>
                <w:sz w:val="18"/>
                <w:szCs w:val="18"/>
                <w:lang w:eastAsia="zh-CN"/>
              </w:rPr>
            </w:pPr>
            <w:r>
              <w:rPr>
                <w:rFonts w:eastAsia="SimSun" w:cs="Arial"/>
                <w:sz w:val="18"/>
                <w:szCs w:val="18"/>
                <w:lang w:eastAsia="zh-CN"/>
              </w:rPr>
              <w:t xml:space="preserve">Forschung und Innovation </w:t>
            </w:r>
          </w:p>
          <w:p>
            <w:pPr>
              <w:autoSpaceDE w:val="0"/>
              <w:autoSpaceDN w:val="0"/>
              <w:adjustRightInd w:val="0"/>
              <w:spacing w:after="0"/>
              <w:rPr>
                <w:rFonts w:eastAsia="SimSun" w:cs="Arial"/>
                <w:sz w:val="18"/>
                <w:szCs w:val="18"/>
                <w:lang w:eastAsia="zh-CN"/>
              </w:rPr>
            </w:pPr>
            <w:r>
              <w:rPr>
                <w:rFonts w:eastAsia="SimSun" w:cs="Arial"/>
                <w:sz w:val="18"/>
                <w:szCs w:val="18"/>
                <w:lang w:eastAsia="zh-CN"/>
              </w:rPr>
              <w:t>(</w:t>
            </w:r>
            <w:hyperlink r:id="rId20" w:history="1">
              <w:r>
                <w:rPr>
                  <w:rStyle w:val="Hyperlink"/>
                  <w:rFonts w:eastAsia="SimSun" w:cs="Arial"/>
                  <w:sz w:val="18"/>
                  <w:szCs w:val="18"/>
                  <w:u w:val="none"/>
                  <w:lang w:eastAsia="zh-CN"/>
                </w:rPr>
                <w:t>www.bvz.admin.ch</w:t>
              </w:r>
            </w:hyperlink>
            <w:r>
              <w:rPr>
                <w:rFonts w:eastAsia="SimSun" w:cs="Arial"/>
                <w:sz w:val="18"/>
                <w:szCs w:val="18"/>
                <w:lang w:eastAsia="zh-CN"/>
              </w:rPr>
              <w:t xml:space="preserve"> &gt; Berufe A-Z)</w:t>
            </w:r>
          </w:p>
          <w:p>
            <w:pPr>
              <w:autoSpaceDE w:val="0"/>
              <w:autoSpaceDN w:val="0"/>
              <w:adjustRightInd w:val="0"/>
              <w:spacing w:before="60" w:after="60"/>
              <w:rPr>
                <w:rFonts w:eastAsia="SimSun" w:cs="Arial"/>
                <w:i/>
                <w:iCs/>
                <w:sz w:val="18"/>
                <w:szCs w:val="18"/>
                <w:lang w:eastAsia="zh-CN"/>
              </w:rPr>
            </w:pPr>
            <w:r>
              <w:rPr>
                <w:rFonts w:eastAsia="SimSun" w:cs="Arial"/>
                <w:i/>
                <w:iCs/>
                <w:sz w:val="18"/>
                <w:szCs w:val="18"/>
                <w:lang w:eastAsia="zh-CN"/>
              </w:rPr>
              <w:t xml:space="preserve">Printversion </w:t>
            </w:r>
          </w:p>
          <w:p>
            <w:pPr>
              <w:autoSpaceDE w:val="0"/>
              <w:autoSpaceDN w:val="0"/>
              <w:adjustRightInd w:val="0"/>
              <w:spacing w:before="60" w:after="0"/>
              <w:rPr>
                <w:rFonts w:eastAsia="SimSun" w:cs="Arial"/>
                <w:sz w:val="18"/>
                <w:szCs w:val="18"/>
                <w:lang w:eastAsia="zh-CN"/>
              </w:rPr>
            </w:pPr>
            <w:r>
              <w:rPr>
                <w:rFonts w:eastAsia="SimSun" w:cs="Arial"/>
                <w:sz w:val="18"/>
                <w:szCs w:val="18"/>
                <w:lang w:eastAsia="zh-CN"/>
              </w:rPr>
              <w:t>Bundesamt für Bauten und Logistik</w:t>
            </w:r>
          </w:p>
          <w:p>
            <w:pPr>
              <w:autoSpaceDE w:val="0"/>
              <w:autoSpaceDN w:val="0"/>
              <w:adjustRightInd w:val="0"/>
              <w:spacing w:after="60"/>
              <w:rPr>
                <w:rFonts w:cs="Arial"/>
                <w:sz w:val="18"/>
                <w:szCs w:val="18"/>
                <w:lang w:eastAsia="de-DE"/>
              </w:rPr>
            </w:pPr>
            <w:r>
              <w:rPr>
                <w:rFonts w:eastAsia="SimSun" w:cs="Arial"/>
                <w:sz w:val="18"/>
                <w:szCs w:val="18"/>
                <w:lang w:eastAsia="zh-CN"/>
              </w:rPr>
              <w:t>(</w:t>
            </w:r>
            <w:hyperlink r:id="rId21" w:history="1">
              <w:r>
                <w:rPr>
                  <w:rStyle w:val="Hyperlink"/>
                  <w:rFonts w:eastAsia="SimSun" w:cs="Arial"/>
                  <w:sz w:val="18"/>
                  <w:szCs w:val="18"/>
                  <w:u w:val="none"/>
                  <w:lang w:eastAsia="zh-CN"/>
                </w:rPr>
                <w:t>www.bundespublikationen.admin.ch</w:t>
              </w:r>
            </w:hyperlink>
            <w:r>
              <w:rPr>
                <w:rFonts w:eastAsia="SimSun" w:cs="Arial"/>
                <w:sz w:val="18"/>
                <w:szCs w:val="18"/>
                <w:lang w:eastAsia="zh-CN"/>
              </w:rPr>
              <w:t xml:space="preserve"> )</w:t>
            </w:r>
          </w:p>
        </w:tc>
      </w:tr>
      <w:tr>
        <w:tc>
          <w:tcPr>
            <w:tcW w:w="505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SimSun" w:cs="Arial"/>
                <w:sz w:val="18"/>
                <w:szCs w:val="18"/>
                <w:lang w:eastAsia="zh-CN"/>
              </w:rPr>
            </w:pPr>
            <w:r>
              <w:rPr>
                <w:rFonts w:eastAsia="SimSun" w:cs="Arial"/>
                <w:sz w:val="18"/>
                <w:szCs w:val="18"/>
                <w:lang w:eastAsia="zh-CN"/>
              </w:rPr>
              <w:t xml:space="preserve">Bildungsplan zur Verordnung des SBFI über die berufliche Grundbildung für </w:t>
            </w:r>
            <w:r>
              <w:rPr>
                <w:rFonts w:eastAsia="SimSun" w:cs="Arial"/>
                <w:color w:val="FF0000"/>
                <w:sz w:val="18"/>
                <w:szCs w:val="18"/>
                <w:lang w:eastAsia="zh-CN"/>
              </w:rPr>
              <w:t>[Titel w/Titel m]</w:t>
            </w:r>
          </w:p>
        </w:tc>
        <w:tc>
          <w:tcPr>
            <w:tcW w:w="4414" w:type="dxa"/>
            <w:tcBorders>
              <w:top w:val="single" w:sz="4" w:space="0" w:color="auto"/>
              <w:left w:val="single" w:sz="4" w:space="0" w:color="auto"/>
              <w:bottom w:val="single" w:sz="4" w:space="0" w:color="auto"/>
              <w:right w:val="single" w:sz="4" w:space="0" w:color="auto"/>
            </w:tcBorders>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w:t>
            </w:r>
          </w:p>
        </w:tc>
      </w:tr>
      <w:tr>
        <w:tc>
          <w:tcPr>
            <w:tcW w:w="505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SimSun" w:cs="Arial"/>
                <w:sz w:val="18"/>
                <w:szCs w:val="18"/>
                <w:lang w:eastAsia="zh-CN"/>
              </w:rPr>
            </w:pPr>
            <w:r>
              <w:rPr>
                <w:rFonts w:eastAsia="SimSun" w:cs="Arial"/>
                <w:sz w:val="18"/>
                <w:szCs w:val="18"/>
                <w:lang w:eastAsia="zh-CN"/>
              </w:rPr>
              <w:t>Ausführungsbestimmungen zum Qualifikationsverfahren mit Abschlussprüfung inkl. Anhang (Bewertungsraster sowie ggf. Leistungsnachweise überbetriebliche Kurse und/oder Leistungsnachweis Bildung in beruflicher Praxis)</w:t>
            </w:r>
          </w:p>
        </w:tc>
        <w:tc>
          <w:tcPr>
            <w:tcW w:w="4414" w:type="dxa"/>
            <w:tcBorders>
              <w:top w:val="single" w:sz="4" w:space="0" w:color="auto"/>
              <w:left w:val="single" w:sz="4" w:space="0" w:color="auto"/>
              <w:bottom w:val="single" w:sz="4" w:space="0" w:color="auto"/>
              <w:right w:val="single" w:sz="4" w:space="0" w:color="auto"/>
            </w:tcBorders>
            <w:hideMark/>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 xml:space="preserve">] </w:t>
            </w:r>
          </w:p>
        </w:tc>
      </w:tr>
      <w:tr>
        <w:tc>
          <w:tcPr>
            <w:tcW w:w="505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SimSun" w:cs="Arial"/>
                <w:sz w:val="18"/>
                <w:szCs w:val="18"/>
                <w:lang w:eastAsia="zh-CN"/>
              </w:rPr>
            </w:pPr>
            <w:r>
              <w:rPr>
                <w:rFonts w:eastAsia="SimSun" w:cs="Arial"/>
                <w:sz w:val="18"/>
                <w:szCs w:val="18"/>
                <w:lang w:eastAsia="zh-CN"/>
              </w:rPr>
              <w:t xml:space="preserve">Lerndokumentation </w:t>
            </w:r>
          </w:p>
        </w:tc>
        <w:tc>
          <w:tcPr>
            <w:tcW w:w="4414" w:type="dxa"/>
            <w:tcBorders>
              <w:top w:val="single" w:sz="4" w:space="0" w:color="auto"/>
              <w:left w:val="single" w:sz="4" w:space="0" w:color="auto"/>
              <w:bottom w:val="single" w:sz="4" w:space="0" w:color="auto"/>
              <w:right w:val="single" w:sz="4" w:space="0" w:color="auto"/>
            </w:tcBorders>
            <w:hideMark/>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 xml:space="preserve">] </w:t>
            </w:r>
          </w:p>
        </w:tc>
      </w:tr>
      <w:tr>
        <w:tc>
          <w:tcPr>
            <w:tcW w:w="5050" w:type="dxa"/>
            <w:tcBorders>
              <w:top w:val="single" w:sz="4" w:space="0" w:color="auto"/>
              <w:left w:val="single" w:sz="4" w:space="0" w:color="auto"/>
              <w:bottom w:val="single" w:sz="4" w:space="0" w:color="auto"/>
              <w:right w:val="single" w:sz="4" w:space="0" w:color="auto"/>
            </w:tcBorders>
            <w:hideMark/>
          </w:tcPr>
          <w:p>
            <w:pPr>
              <w:spacing w:before="60" w:after="60"/>
              <w:rPr>
                <w:rFonts w:cs="Arial"/>
                <w:sz w:val="18"/>
                <w:szCs w:val="18"/>
                <w:lang w:eastAsia="de-DE"/>
              </w:rPr>
            </w:pPr>
            <w:r>
              <w:rPr>
                <w:rFonts w:eastAsia="SimSun" w:cs="Arial"/>
                <w:sz w:val="18"/>
                <w:szCs w:val="18"/>
                <w:lang w:eastAsia="zh-CN"/>
              </w:rPr>
              <w:t xml:space="preserve">Bildungsbericht </w:t>
            </w:r>
          </w:p>
        </w:tc>
        <w:tc>
          <w:tcPr>
            <w:tcW w:w="441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0"/>
              <w:rPr>
                <w:rFonts w:eastAsia="SimSun" w:cs="Arial"/>
                <w:sz w:val="18"/>
                <w:szCs w:val="18"/>
                <w:lang w:eastAsia="zh-CN"/>
              </w:rPr>
            </w:pPr>
            <w:r>
              <w:rPr>
                <w:rFonts w:eastAsia="SimSun" w:cs="Arial"/>
                <w:sz w:val="18"/>
                <w:szCs w:val="18"/>
                <w:lang w:eastAsia="zh-CN"/>
              </w:rPr>
              <w:t>Vorlage SDBB | CSFO</w:t>
            </w:r>
          </w:p>
          <w:p>
            <w:pPr>
              <w:autoSpaceDE w:val="0"/>
              <w:autoSpaceDN w:val="0"/>
              <w:adjustRightInd w:val="0"/>
              <w:spacing w:after="0"/>
              <w:rPr>
                <w:rFonts w:eastAsia="SimSun" w:cs="Arial"/>
                <w:sz w:val="18"/>
                <w:szCs w:val="18"/>
                <w:lang w:eastAsia="zh-CN"/>
              </w:rPr>
            </w:pPr>
            <w:r>
              <w:rPr>
                <w:rFonts w:eastAsia="SimSun" w:cs="Arial"/>
                <w:sz w:val="18"/>
                <w:szCs w:val="18"/>
                <w:lang w:eastAsia="zh-CN"/>
              </w:rPr>
              <w:t>www.oda.berufsbildung.ch</w:t>
            </w:r>
          </w:p>
          <w:p>
            <w:pPr>
              <w:autoSpaceDE w:val="0"/>
              <w:autoSpaceDN w:val="0"/>
              <w:adjustRightInd w:val="0"/>
              <w:spacing w:after="60"/>
              <w:rPr>
                <w:rFonts w:eastAsia="SimSun" w:cs="Arial"/>
                <w:color w:val="FF0000"/>
                <w:sz w:val="18"/>
                <w:szCs w:val="18"/>
                <w:lang w:eastAsia="zh-CN"/>
              </w:rPr>
            </w:pPr>
            <w:r>
              <w:rPr>
                <w:rFonts w:eastAsia="SimSun" w:cs="Arial"/>
                <w:color w:val="FF0000"/>
                <w:sz w:val="18"/>
                <w:szCs w:val="18"/>
                <w:lang w:eastAsia="zh-CN"/>
              </w:rPr>
              <w:t>[</w:t>
            </w:r>
            <w:proofErr w:type="spellStart"/>
            <w:r>
              <w:rPr>
                <w:rFonts w:eastAsia="SimSun" w:cs="Arial"/>
                <w:color w:val="FF0000"/>
                <w:sz w:val="18"/>
                <w:szCs w:val="18"/>
                <w:lang w:eastAsia="zh-CN"/>
              </w:rPr>
              <w:t>evt.</w:t>
            </w:r>
            <w:proofErr w:type="spellEnd"/>
            <w:r>
              <w:rPr>
                <w:rFonts w:eastAsia="SimSun" w:cs="Arial"/>
                <w:color w:val="FF0000"/>
                <w:sz w:val="18"/>
                <w:szCs w:val="18"/>
                <w:lang w:eastAsia="zh-CN"/>
              </w:rPr>
              <w:t xml:space="preserve"> Name der zuständigen </w:t>
            </w:r>
            <w:proofErr w:type="spellStart"/>
            <w:r>
              <w:rPr>
                <w:rFonts w:eastAsia="SimSun" w:cs="Arial"/>
                <w:color w:val="FF0000"/>
                <w:sz w:val="18"/>
                <w:szCs w:val="18"/>
                <w:lang w:eastAsia="zh-CN"/>
              </w:rPr>
              <w:t>OdA</w:t>
            </w:r>
            <w:proofErr w:type="spellEnd"/>
            <w:r>
              <w:rPr>
                <w:rFonts w:eastAsia="SimSun" w:cs="Arial"/>
                <w:color w:val="FF0000"/>
                <w:sz w:val="18"/>
                <w:szCs w:val="18"/>
                <w:lang w:eastAsia="zh-CN"/>
              </w:rPr>
              <w:t>]</w:t>
            </w:r>
          </w:p>
        </w:tc>
      </w:tr>
      <w:tr>
        <w:tc>
          <w:tcPr>
            <w:tcW w:w="5050" w:type="dxa"/>
            <w:tcBorders>
              <w:top w:val="single" w:sz="4" w:space="0" w:color="auto"/>
              <w:left w:val="single" w:sz="4" w:space="0" w:color="auto"/>
              <w:bottom w:val="single" w:sz="4" w:space="0" w:color="auto"/>
              <w:right w:val="single" w:sz="4" w:space="0" w:color="auto"/>
            </w:tcBorders>
            <w:hideMark/>
          </w:tcPr>
          <w:p>
            <w:pPr>
              <w:spacing w:before="60" w:after="60"/>
              <w:rPr>
                <w:rFonts w:eastAsia="SimSun" w:cs="Arial"/>
                <w:color w:val="FF0000"/>
                <w:sz w:val="18"/>
                <w:szCs w:val="18"/>
                <w:lang w:eastAsia="zh-CN"/>
              </w:rPr>
            </w:pPr>
            <w:r>
              <w:rPr>
                <w:rFonts w:eastAsia="SimSun" w:cs="Arial"/>
                <w:color w:val="FF0000"/>
                <w:sz w:val="18"/>
                <w:szCs w:val="18"/>
                <w:lang w:eastAsia="zh-CN"/>
              </w:rPr>
              <w:t>[Dokumentation betriebliche Grundbildung]</w:t>
            </w:r>
          </w:p>
        </w:tc>
        <w:tc>
          <w:tcPr>
            <w:tcW w:w="441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0"/>
              <w:rPr>
                <w:rFonts w:eastAsia="SimSun" w:cs="Arial"/>
                <w:sz w:val="18"/>
                <w:szCs w:val="18"/>
                <w:lang w:eastAsia="zh-CN"/>
              </w:rPr>
            </w:pPr>
            <w:r>
              <w:rPr>
                <w:rFonts w:eastAsia="SimSun" w:cs="Arial"/>
                <w:sz w:val="18"/>
                <w:szCs w:val="18"/>
                <w:lang w:eastAsia="zh-CN"/>
              </w:rPr>
              <w:t>Vorlage SDBB | CSFO</w:t>
            </w:r>
          </w:p>
          <w:p>
            <w:pPr>
              <w:autoSpaceDE w:val="0"/>
              <w:autoSpaceDN w:val="0"/>
              <w:adjustRightInd w:val="0"/>
              <w:spacing w:after="0"/>
              <w:rPr>
                <w:rFonts w:eastAsia="SimSun" w:cs="Arial"/>
                <w:sz w:val="18"/>
                <w:szCs w:val="18"/>
                <w:lang w:eastAsia="zh-CN"/>
              </w:rPr>
            </w:pPr>
            <w:hyperlink r:id="rId22" w:history="1">
              <w:r>
                <w:rPr>
                  <w:rStyle w:val="Hyperlink"/>
                  <w:rFonts w:eastAsia="SimSun" w:cs="Arial"/>
                  <w:color w:val="auto"/>
                  <w:sz w:val="18"/>
                  <w:szCs w:val="18"/>
                  <w:u w:val="none"/>
                  <w:lang w:eastAsia="zh-CN"/>
                </w:rPr>
                <w:t>www.oda.berufsbildung.ch</w:t>
              </w:r>
            </w:hyperlink>
          </w:p>
          <w:p>
            <w:pPr>
              <w:autoSpaceDE w:val="0"/>
              <w:autoSpaceDN w:val="0"/>
              <w:adjustRightInd w:val="0"/>
              <w:spacing w:after="60"/>
              <w:rPr>
                <w:rFonts w:eastAsia="SimSun" w:cs="Arial"/>
                <w:color w:val="FF0000"/>
                <w:sz w:val="18"/>
                <w:szCs w:val="18"/>
                <w:highlight w:val="yellow"/>
                <w:lang w:eastAsia="zh-CN"/>
              </w:rPr>
            </w:pPr>
            <w:r>
              <w:rPr>
                <w:rFonts w:eastAsia="SimSun" w:cs="Arial"/>
                <w:color w:val="FF0000"/>
                <w:sz w:val="18"/>
                <w:szCs w:val="18"/>
                <w:lang w:eastAsia="zh-CN"/>
              </w:rPr>
              <w:t xml:space="preserve">[Name der zuständigen </w:t>
            </w:r>
            <w:proofErr w:type="spellStart"/>
            <w:r>
              <w:rPr>
                <w:rFonts w:eastAsia="SimSun" w:cs="Arial"/>
                <w:color w:val="FF0000"/>
                <w:sz w:val="18"/>
                <w:szCs w:val="18"/>
                <w:lang w:eastAsia="zh-CN"/>
              </w:rPr>
              <w:t>OdA</w:t>
            </w:r>
            <w:proofErr w:type="spellEnd"/>
            <w:r>
              <w:rPr>
                <w:rFonts w:eastAsia="SimSun" w:cs="Arial"/>
                <w:color w:val="FF0000"/>
                <w:sz w:val="18"/>
                <w:szCs w:val="18"/>
                <w:lang w:eastAsia="zh-CN"/>
              </w:rPr>
              <w:t>]</w:t>
            </w:r>
          </w:p>
        </w:tc>
      </w:tr>
      <w:tr>
        <w:trPr>
          <w:trHeight w:val="331"/>
        </w:trPr>
        <w:tc>
          <w:tcPr>
            <w:tcW w:w="5050" w:type="dxa"/>
            <w:tcBorders>
              <w:top w:val="single" w:sz="4" w:space="0" w:color="auto"/>
              <w:left w:val="single" w:sz="4" w:space="0" w:color="auto"/>
              <w:bottom w:val="single" w:sz="4" w:space="0" w:color="auto"/>
              <w:right w:val="single" w:sz="4" w:space="0" w:color="auto"/>
            </w:tcBorders>
          </w:tcPr>
          <w:p>
            <w:pPr>
              <w:spacing w:before="60" w:after="60"/>
              <w:rPr>
                <w:rFonts w:eastAsia="SimSun" w:cs="Arial"/>
                <w:color w:val="FF0000"/>
                <w:sz w:val="18"/>
                <w:szCs w:val="18"/>
                <w:lang w:eastAsia="zh-CN"/>
              </w:rPr>
            </w:pPr>
            <w:r>
              <w:rPr>
                <w:rFonts w:eastAsia="SimSun" w:cs="Arial"/>
                <w:color w:val="FF0000"/>
                <w:sz w:val="18"/>
                <w:szCs w:val="18"/>
                <w:lang w:eastAsia="zh-CN"/>
              </w:rPr>
              <w:t>[Ausbildungsprogramm für die Lehrbetriebe]</w:t>
            </w:r>
          </w:p>
        </w:tc>
        <w:tc>
          <w:tcPr>
            <w:tcW w:w="4414" w:type="dxa"/>
            <w:tcBorders>
              <w:top w:val="single" w:sz="4" w:space="0" w:color="auto"/>
              <w:left w:val="single" w:sz="4" w:space="0" w:color="auto"/>
              <w:bottom w:val="single" w:sz="4" w:space="0" w:color="auto"/>
              <w:right w:val="single" w:sz="4" w:space="0" w:color="auto"/>
            </w:tcBorders>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 xml:space="preserve">] </w:t>
            </w:r>
          </w:p>
        </w:tc>
      </w:tr>
      <w:tr>
        <w:trPr>
          <w:trHeight w:val="331"/>
        </w:trPr>
        <w:tc>
          <w:tcPr>
            <w:tcW w:w="5050" w:type="dxa"/>
            <w:tcBorders>
              <w:top w:val="single" w:sz="4" w:space="0" w:color="auto"/>
              <w:left w:val="single" w:sz="4" w:space="0" w:color="auto"/>
              <w:bottom w:val="single" w:sz="4" w:space="0" w:color="auto"/>
              <w:right w:val="single" w:sz="4" w:space="0" w:color="auto"/>
            </w:tcBorders>
          </w:tcPr>
          <w:p>
            <w:pPr>
              <w:spacing w:before="60" w:after="60"/>
              <w:rPr>
                <w:rFonts w:eastAsia="SimSun" w:cs="Arial"/>
                <w:color w:val="FF0000"/>
                <w:sz w:val="18"/>
                <w:szCs w:val="18"/>
                <w:lang w:eastAsia="zh-CN"/>
              </w:rPr>
            </w:pPr>
            <w:r>
              <w:rPr>
                <w:rFonts w:eastAsia="SimSun" w:cs="Arial"/>
                <w:color w:val="FF0000"/>
                <w:sz w:val="18"/>
                <w:szCs w:val="18"/>
                <w:lang w:eastAsia="zh-CN"/>
              </w:rPr>
              <w:t>[Mindesteinrichtung/Mindestsortiment Lehrbetrieb]</w:t>
            </w:r>
          </w:p>
        </w:tc>
        <w:tc>
          <w:tcPr>
            <w:tcW w:w="4414" w:type="dxa"/>
            <w:tcBorders>
              <w:top w:val="single" w:sz="4" w:space="0" w:color="auto"/>
              <w:left w:val="single" w:sz="4" w:space="0" w:color="auto"/>
              <w:bottom w:val="single" w:sz="4" w:space="0" w:color="auto"/>
              <w:right w:val="single" w:sz="4" w:space="0" w:color="auto"/>
            </w:tcBorders>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 xml:space="preserve">] </w:t>
            </w:r>
          </w:p>
        </w:tc>
      </w:tr>
      <w:tr>
        <w:tc>
          <w:tcPr>
            <w:tcW w:w="5050" w:type="dxa"/>
            <w:tcBorders>
              <w:top w:val="single" w:sz="4" w:space="0" w:color="auto"/>
              <w:left w:val="single" w:sz="4" w:space="0" w:color="auto"/>
              <w:bottom w:val="single" w:sz="4" w:space="0" w:color="auto"/>
              <w:right w:val="single" w:sz="4" w:space="0" w:color="auto"/>
            </w:tcBorders>
          </w:tcPr>
          <w:p>
            <w:pPr>
              <w:spacing w:before="60" w:after="60"/>
              <w:rPr>
                <w:rFonts w:eastAsia="SimSun" w:cs="Arial"/>
                <w:color w:val="FF0000"/>
                <w:sz w:val="18"/>
                <w:szCs w:val="18"/>
                <w:lang w:eastAsia="zh-CN"/>
              </w:rPr>
            </w:pPr>
            <w:r>
              <w:rPr>
                <w:rFonts w:eastAsia="SimSun" w:cs="Arial"/>
                <w:color w:val="FF0000"/>
                <w:sz w:val="18"/>
                <w:szCs w:val="18"/>
                <w:lang w:eastAsia="zh-CN"/>
              </w:rPr>
              <w:t xml:space="preserve">[Ausbildungsprogramm für die überbetrieblichen Kurse] </w:t>
            </w:r>
          </w:p>
        </w:tc>
        <w:tc>
          <w:tcPr>
            <w:tcW w:w="4414" w:type="dxa"/>
            <w:tcBorders>
              <w:top w:val="single" w:sz="4" w:space="0" w:color="auto"/>
              <w:left w:val="single" w:sz="4" w:space="0" w:color="auto"/>
              <w:bottom w:val="single" w:sz="4" w:space="0" w:color="auto"/>
              <w:right w:val="single" w:sz="4" w:space="0" w:color="auto"/>
            </w:tcBorders>
            <w:hideMark/>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 xml:space="preserve">] </w:t>
            </w:r>
          </w:p>
        </w:tc>
      </w:tr>
      <w:tr>
        <w:tc>
          <w:tcPr>
            <w:tcW w:w="5050" w:type="dxa"/>
            <w:tcBorders>
              <w:top w:val="single" w:sz="4" w:space="0" w:color="auto"/>
              <w:left w:val="single" w:sz="4" w:space="0" w:color="auto"/>
              <w:bottom w:val="single" w:sz="4" w:space="0" w:color="auto"/>
              <w:right w:val="single" w:sz="4" w:space="0" w:color="auto"/>
            </w:tcBorders>
          </w:tcPr>
          <w:p>
            <w:pPr>
              <w:spacing w:before="60" w:after="60"/>
              <w:rPr>
                <w:rFonts w:eastAsia="SimSun" w:cs="Arial"/>
                <w:color w:val="FF0000"/>
                <w:sz w:val="18"/>
                <w:szCs w:val="18"/>
                <w:lang w:eastAsia="zh-CN"/>
              </w:rPr>
            </w:pPr>
            <w:r>
              <w:rPr>
                <w:rFonts w:eastAsia="SimSun" w:cs="Arial"/>
                <w:color w:val="FF0000"/>
                <w:sz w:val="18"/>
                <w:szCs w:val="18"/>
                <w:lang w:eastAsia="zh-CN"/>
              </w:rPr>
              <w:t>[Organisationsreglement für die überbetrieblichen Kurse]</w:t>
            </w:r>
          </w:p>
        </w:tc>
        <w:tc>
          <w:tcPr>
            <w:tcW w:w="4414" w:type="dxa"/>
            <w:tcBorders>
              <w:top w:val="single" w:sz="4" w:space="0" w:color="auto"/>
              <w:left w:val="single" w:sz="4" w:space="0" w:color="auto"/>
              <w:bottom w:val="single" w:sz="4" w:space="0" w:color="auto"/>
              <w:right w:val="single" w:sz="4" w:space="0" w:color="auto"/>
            </w:tcBorders>
            <w:hideMark/>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w:t>
            </w:r>
          </w:p>
        </w:tc>
      </w:tr>
      <w:tr>
        <w:tc>
          <w:tcPr>
            <w:tcW w:w="5050" w:type="dxa"/>
            <w:tcBorders>
              <w:top w:val="single" w:sz="4" w:space="0" w:color="auto"/>
              <w:left w:val="single" w:sz="4" w:space="0" w:color="auto"/>
              <w:bottom w:val="single" w:sz="4" w:space="0" w:color="auto"/>
              <w:right w:val="single" w:sz="4" w:space="0" w:color="auto"/>
            </w:tcBorders>
          </w:tcPr>
          <w:p>
            <w:pPr>
              <w:spacing w:before="60" w:after="60"/>
              <w:rPr>
                <w:rFonts w:eastAsia="SimSun" w:cs="Arial"/>
                <w:color w:val="FF0000"/>
                <w:sz w:val="18"/>
                <w:szCs w:val="18"/>
                <w:lang w:eastAsia="zh-CN"/>
              </w:rPr>
            </w:pPr>
            <w:r>
              <w:rPr>
                <w:rFonts w:eastAsia="SimSun" w:cs="Arial"/>
                <w:color w:val="FF0000"/>
                <w:sz w:val="18"/>
                <w:szCs w:val="18"/>
                <w:lang w:eastAsia="zh-CN"/>
              </w:rPr>
              <w:t>[Lehrplan für die Berufsfachschulen]</w:t>
            </w:r>
          </w:p>
        </w:tc>
        <w:tc>
          <w:tcPr>
            <w:tcW w:w="4414" w:type="dxa"/>
            <w:tcBorders>
              <w:top w:val="single" w:sz="4" w:space="0" w:color="auto"/>
              <w:left w:val="single" w:sz="4" w:space="0" w:color="auto"/>
              <w:bottom w:val="single" w:sz="4" w:space="0" w:color="auto"/>
              <w:right w:val="single" w:sz="4" w:space="0" w:color="auto"/>
            </w:tcBorders>
            <w:hideMark/>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 xml:space="preserve">] </w:t>
            </w:r>
          </w:p>
        </w:tc>
      </w:tr>
      <w:tr>
        <w:tc>
          <w:tcPr>
            <w:tcW w:w="5050"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before="60" w:after="60"/>
              <w:rPr>
                <w:rFonts w:eastAsia="SimSun" w:cs="Arial"/>
                <w:color w:val="FF0000"/>
                <w:sz w:val="18"/>
                <w:szCs w:val="18"/>
                <w:highlight w:val="cyan"/>
                <w:lang w:eastAsia="zh-CN"/>
              </w:rPr>
            </w:pPr>
            <w:r>
              <w:rPr>
                <w:rFonts w:eastAsia="SimSun" w:cs="Arial"/>
                <w:color w:val="FF0000"/>
                <w:sz w:val="18"/>
                <w:szCs w:val="18"/>
                <w:lang w:eastAsia="zh-CN"/>
              </w:rPr>
              <w:t>[Organisationsreglement Kommission Berufsentwicklung und Qualität]</w:t>
            </w:r>
          </w:p>
        </w:tc>
        <w:tc>
          <w:tcPr>
            <w:tcW w:w="4414" w:type="dxa"/>
            <w:tcBorders>
              <w:top w:val="single" w:sz="4" w:space="0" w:color="auto"/>
              <w:left w:val="single" w:sz="4" w:space="0" w:color="auto"/>
              <w:bottom w:val="single" w:sz="4" w:space="0" w:color="auto"/>
              <w:right w:val="single" w:sz="4" w:space="0" w:color="auto"/>
            </w:tcBorders>
            <w:hideMark/>
          </w:tcPr>
          <w:p>
            <w:pPr>
              <w:spacing w:before="60" w:after="60"/>
              <w:rPr>
                <w:rFonts w:cs="Arial"/>
                <w:color w:val="FF0000"/>
                <w:sz w:val="18"/>
                <w:szCs w:val="18"/>
              </w:rPr>
            </w:pPr>
            <w:r>
              <w:rPr>
                <w:rFonts w:cs="Arial"/>
                <w:color w:val="FF0000"/>
                <w:sz w:val="18"/>
                <w:szCs w:val="18"/>
              </w:rPr>
              <w:t xml:space="preserve">[Name der zuständigen </w:t>
            </w:r>
            <w:proofErr w:type="spellStart"/>
            <w:r>
              <w:rPr>
                <w:rFonts w:cs="Arial"/>
                <w:color w:val="FF0000"/>
                <w:sz w:val="18"/>
                <w:szCs w:val="18"/>
              </w:rPr>
              <w:t>OdA</w:t>
            </w:r>
            <w:proofErr w:type="spellEnd"/>
            <w:r>
              <w:rPr>
                <w:rFonts w:cs="Arial"/>
                <w:color w:val="FF0000"/>
                <w:sz w:val="18"/>
                <w:szCs w:val="18"/>
              </w:rPr>
              <w:t xml:space="preserve">] </w:t>
            </w:r>
          </w:p>
        </w:tc>
      </w:tr>
      <w:tr>
        <w:tc>
          <w:tcPr>
            <w:tcW w:w="505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before="60" w:after="60"/>
              <w:rPr>
                <w:rFonts w:eastAsia="SimSun" w:cs="Arial"/>
                <w:color w:val="FF0000"/>
                <w:sz w:val="18"/>
                <w:szCs w:val="18"/>
                <w:lang w:eastAsia="zh-CN"/>
              </w:rPr>
            </w:pPr>
            <w:r>
              <w:rPr>
                <w:rFonts w:eastAsia="SimSun" w:cs="Arial"/>
                <w:color w:val="FF0000"/>
                <w:sz w:val="18"/>
                <w:szCs w:val="18"/>
                <w:lang w:eastAsia="zh-CN"/>
              </w:rPr>
              <w:t>[…]</w:t>
            </w:r>
          </w:p>
        </w:tc>
        <w:tc>
          <w:tcPr>
            <w:tcW w:w="4414" w:type="dxa"/>
            <w:tcBorders>
              <w:top w:val="single" w:sz="4" w:space="0" w:color="auto"/>
              <w:left w:val="single" w:sz="4" w:space="0" w:color="auto"/>
              <w:bottom w:val="single" w:sz="4" w:space="0" w:color="auto"/>
              <w:right w:val="single" w:sz="4" w:space="0" w:color="auto"/>
            </w:tcBorders>
          </w:tcPr>
          <w:p>
            <w:pPr>
              <w:spacing w:before="60" w:after="60"/>
              <w:rPr>
                <w:rFonts w:cs="Arial"/>
                <w:color w:val="FF0000"/>
                <w:sz w:val="18"/>
                <w:szCs w:val="18"/>
              </w:rPr>
            </w:pPr>
            <w:r>
              <w:rPr>
                <w:rFonts w:cs="Arial"/>
                <w:color w:val="FF0000"/>
                <w:sz w:val="18"/>
                <w:szCs w:val="18"/>
              </w:rPr>
              <w:t>[…]</w:t>
            </w:r>
          </w:p>
        </w:tc>
      </w:tr>
    </w:tbl>
    <w:p>
      <w:pPr>
        <w:autoSpaceDE w:val="0"/>
        <w:autoSpaceDN w:val="0"/>
        <w:adjustRightInd w:val="0"/>
        <w:spacing w:before="360"/>
        <w:ind w:right="-425"/>
        <w:rPr>
          <w:b/>
          <w:bCs/>
          <w:sz w:val="30"/>
          <w:szCs w:val="28"/>
        </w:rPr>
        <w:sectPr>
          <w:headerReference w:type="first" r:id="rId23"/>
          <w:pgSz w:w="11907" w:h="16839" w:code="9"/>
          <w:pgMar w:top="1239" w:right="1183" w:bottom="851" w:left="1701" w:header="680" w:footer="126" w:gutter="0"/>
          <w:cols w:space="708"/>
          <w:titlePg/>
          <w:docGrid w:linePitch="360"/>
        </w:sectPr>
      </w:pPr>
    </w:p>
    <w:p>
      <w:pPr>
        <w:autoSpaceDE w:val="0"/>
        <w:autoSpaceDN w:val="0"/>
        <w:adjustRightInd w:val="0"/>
        <w:spacing w:before="360"/>
        <w:ind w:right="-425"/>
        <w:rPr>
          <w:b/>
          <w:bCs/>
          <w:sz w:val="30"/>
          <w:szCs w:val="28"/>
        </w:rPr>
        <w:sectPr>
          <w:type w:val="continuous"/>
          <w:pgSz w:w="11907" w:h="16839" w:code="9"/>
          <w:pgMar w:top="1238" w:right="1134" w:bottom="851" w:left="1701" w:header="680" w:footer="91" w:gutter="0"/>
          <w:cols w:space="708"/>
          <w:titlePg/>
          <w:docGrid w:linePitch="360"/>
        </w:sectPr>
      </w:pPr>
    </w:p>
    <w:p>
      <w:pPr>
        <w:pStyle w:val="berschrift1"/>
      </w:pPr>
      <w:bookmarkStart w:id="48" w:name="_Toc143691025"/>
      <w:r>
        <w:lastRenderedPageBreak/>
        <w:t>Anhang 2: Begleitende Massnahmen der Arbeitssicherheit und des Gesundheitsschutzes</w:t>
      </w:r>
      <w:bookmarkEnd w:id="48"/>
    </w:p>
    <w:p>
      <w:pPr>
        <w:autoSpaceDE w:val="0"/>
        <w:autoSpaceDN w:val="0"/>
        <w:adjustRightInd w:val="0"/>
        <w:spacing w:before="360"/>
      </w:pPr>
      <w:r>
        <w:t xml:space="preserve">Artikel 4 Absatz 1 Verordnung 5 zum Arbeitsgesetz vom 28. September 2007 (Jugendarbeitsschutzverordnung, ArGV 5; SR 822.115) </w:t>
      </w:r>
      <w:r>
        <w:rPr>
          <w:b/>
        </w:rPr>
        <w:t>verbietet generell gefährliche Arbeiten für Jugendliche</w:t>
      </w:r>
      <w:r>
        <w:t xml:space="preserve">. Als gefährlich gelten alle Arbeiten, die ihrer Natur nach oder aufgrund der Umstände, unter denen sie verrichtet werden, die Gesundheit, die Ausbildung und die Sicherheit der Jugendlichen sowie deren physische und psychische Entwicklung beeinträchtigen können. In Abweichung von Artikel 4 Absatz 1 ArGV 5 können lernende </w:t>
      </w:r>
      <w:r>
        <w:rPr>
          <w:color w:val="FF0000"/>
        </w:rPr>
        <w:t>[Titel f]/[Titel m]</w:t>
      </w:r>
      <w:r>
        <w:t xml:space="preserve"> ab 15 Jahren entsprechend ihrem Ausbildungsstand für die aufgeführten gefährlichen Arbeiten herangezogen werden, sofern die folgenden begleitenden Massnahmen im Zusammenhang mit den Präventionsthemen vom Betrieb eingehalten werden:</w:t>
      </w:r>
    </w:p>
    <w:tbl>
      <w:tblPr>
        <w:tblW w:w="15224"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7"/>
        <w:gridCol w:w="14147"/>
      </w:tblGrid>
      <w:tr>
        <w:tc>
          <w:tcPr>
            <w:tcW w:w="15224" w:type="dxa"/>
            <w:gridSpan w:val="2"/>
            <w:shd w:val="clear" w:color="auto" w:fill="D9D9D9"/>
          </w:tcPr>
          <w:p>
            <w:pPr>
              <w:autoSpaceDE w:val="0"/>
              <w:autoSpaceDN w:val="0"/>
              <w:adjustRightInd w:val="0"/>
              <w:spacing w:beforeLines="20" w:before="48" w:afterLines="20" w:after="48"/>
              <w:contextualSpacing/>
              <w:rPr>
                <w:rFonts w:eastAsia="Century Gothic" w:cs="Arial"/>
                <w:b/>
                <w:sz w:val="16"/>
                <w:szCs w:val="16"/>
              </w:rPr>
            </w:pPr>
            <w:r>
              <w:rPr>
                <w:rFonts w:eastAsia="Century Gothic" w:cs="Arial"/>
                <w:b/>
                <w:szCs w:val="16"/>
              </w:rPr>
              <w:t>Ausnahmen vom Verbot gefährlicher Arbeiten</w:t>
            </w:r>
            <w:r>
              <w:rPr>
                <w:rFonts w:eastAsia="Century Gothic" w:cs="Arial"/>
                <w:szCs w:val="16"/>
              </w:rPr>
              <w:t xml:space="preserve"> (Grundlage: Verordnung des WBF über gefährliche Arbeiten für Jugendliche; SR 822.115.2, Stand: 12.01.2022)</w:t>
            </w:r>
          </w:p>
        </w:tc>
      </w:tr>
      <w:tr>
        <w:tc>
          <w:tcPr>
            <w:tcW w:w="1077" w:type="dxa"/>
            <w:shd w:val="clear" w:color="auto" w:fill="D9D9D9"/>
          </w:tcPr>
          <w:p>
            <w:pPr>
              <w:autoSpaceDE w:val="0"/>
              <w:autoSpaceDN w:val="0"/>
              <w:adjustRightInd w:val="0"/>
              <w:spacing w:beforeLines="20" w:before="48" w:afterLines="20" w:after="48"/>
              <w:contextualSpacing/>
              <w:jc w:val="center"/>
              <w:rPr>
                <w:rFonts w:eastAsia="Century Gothic" w:cs="Arial"/>
                <w:b/>
                <w:sz w:val="16"/>
                <w:szCs w:val="16"/>
              </w:rPr>
            </w:pPr>
            <w:r>
              <w:rPr>
                <w:rFonts w:eastAsia="Century Gothic" w:cs="Arial"/>
                <w:b/>
                <w:sz w:val="16"/>
                <w:szCs w:val="16"/>
              </w:rPr>
              <w:t>Artikel, Buchstabe, Ziffer</w:t>
            </w:r>
          </w:p>
        </w:tc>
        <w:tc>
          <w:tcPr>
            <w:tcW w:w="14147" w:type="dxa"/>
            <w:shd w:val="clear" w:color="auto" w:fill="D9D9D9"/>
            <w:vAlign w:val="center"/>
          </w:tcPr>
          <w:p>
            <w:pPr>
              <w:autoSpaceDE w:val="0"/>
              <w:autoSpaceDN w:val="0"/>
              <w:adjustRightInd w:val="0"/>
              <w:spacing w:beforeLines="20" w:before="48" w:afterLines="20" w:after="48"/>
              <w:contextualSpacing/>
              <w:rPr>
                <w:rFonts w:eastAsia="Century Gothic" w:cs="Arial"/>
                <w:b/>
                <w:sz w:val="16"/>
                <w:szCs w:val="16"/>
              </w:rPr>
            </w:pPr>
            <w:r>
              <w:rPr>
                <w:rFonts w:eastAsia="Century Gothic" w:cs="Arial"/>
                <w:b/>
                <w:sz w:val="16"/>
                <w:szCs w:val="16"/>
              </w:rPr>
              <w:t xml:space="preserve">Gefährliche Arbeit </w:t>
            </w:r>
            <w:r>
              <w:rPr>
                <w:rFonts w:eastAsia="Century Gothic" w:cs="Arial"/>
                <w:sz w:val="16"/>
                <w:szCs w:val="16"/>
              </w:rPr>
              <w:t>(Bezeichnung gemäss WBF-Verordnung SR 822.115.2)</w:t>
            </w:r>
          </w:p>
        </w:tc>
      </w:tr>
      <w:tr>
        <w:tc>
          <w:tcPr>
            <w:tcW w:w="107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1414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r>
        <w:tc>
          <w:tcPr>
            <w:tcW w:w="107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1414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r>
        <w:tc>
          <w:tcPr>
            <w:tcW w:w="107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1414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r>
        <w:tc>
          <w:tcPr>
            <w:tcW w:w="107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14147" w:type="dxa"/>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bl>
    <w:p>
      <w:pPr>
        <w:spacing w:after="0"/>
        <w:rPr>
          <w:szCs w:val="2"/>
        </w:rPr>
      </w:pP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387"/>
        <w:gridCol w:w="2268"/>
        <w:gridCol w:w="647"/>
        <w:gridCol w:w="3969"/>
        <w:gridCol w:w="771"/>
        <w:gridCol w:w="708"/>
        <w:gridCol w:w="709"/>
        <w:gridCol w:w="1559"/>
        <w:gridCol w:w="709"/>
        <w:gridCol w:w="709"/>
        <w:gridCol w:w="789"/>
      </w:tblGrid>
      <w:tr>
        <w:tc>
          <w:tcPr>
            <w:tcW w:w="2387" w:type="dxa"/>
            <w:vMerge w:val="restart"/>
            <w:tcBorders>
              <w:left w:val="single" w:sz="18"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b/>
                <w:sz w:val="16"/>
                <w:szCs w:val="16"/>
              </w:rPr>
            </w:pPr>
            <w:r>
              <w:rPr>
                <w:rFonts w:eastAsia="Century Gothic" w:cs="Arial"/>
                <w:b/>
                <w:sz w:val="16"/>
                <w:szCs w:val="16"/>
              </w:rPr>
              <w:t>Gefährliche Arbeit(en)</w:t>
            </w:r>
            <w:r>
              <w:rPr>
                <w:rFonts w:eastAsia="Century Gothic" w:cs="Arial"/>
                <w:b/>
                <w:sz w:val="16"/>
                <w:szCs w:val="16"/>
              </w:rPr>
              <w:br/>
            </w:r>
            <w:r>
              <w:rPr>
                <w:rFonts w:eastAsia="Century Gothic" w:cs="Arial"/>
                <w:sz w:val="16"/>
                <w:szCs w:val="16"/>
              </w:rPr>
              <w:t>(ausgehend von den</w:t>
            </w:r>
            <w:r>
              <w:rPr>
                <w:rFonts w:eastAsia="Century Gothic" w:cs="Arial"/>
                <w:b/>
                <w:sz w:val="16"/>
                <w:szCs w:val="16"/>
              </w:rPr>
              <w:t xml:space="preserve"> </w:t>
            </w:r>
            <w:r>
              <w:rPr>
                <w:rFonts w:eastAsia="Century Gothic" w:cs="Arial"/>
                <w:sz w:val="16"/>
                <w:szCs w:val="16"/>
              </w:rPr>
              <w:t>Handlungskompetenzen)</w:t>
            </w:r>
          </w:p>
        </w:tc>
        <w:tc>
          <w:tcPr>
            <w:tcW w:w="2915" w:type="dxa"/>
            <w:gridSpan w:val="2"/>
            <w:vMerge w:val="restart"/>
            <w:tcBorders>
              <w:left w:val="single" w:sz="2" w:space="0" w:color="000000"/>
              <w:bottom w:val="nil"/>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b/>
                <w:sz w:val="16"/>
                <w:szCs w:val="16"/>
              </w:rPr>
            </w:pPr>
            <w:r>
              <w:rPr>
                <w:rFonts w:eastAsia="Century Gothic" w:cs="Arial"/>
                <w:b/>
                <w:sz w:val="16"/>
                <w:szCs w:val="16"/>
              </w:rPr>
              <w:t>Gefahr(en)</w:t>
            </w:r>
          </w:p>
        </w:tc>
        <w:tc>
          <w:tcPr>
            <w:tcW w:w="3969" w:type="dxa"/>
            <w:vMerge w:val="restart"/>
            <w:tcBorders>
              <w:left w:val="single" w:sz="2" w:space="0" w:color="000000"/>
              <w:right w:val="single" w:sz="18" w:space="0" w:color="000000"/>
            </w:tcBorders>
            <w:shd w:val="clear" w:color="auto" w:fill="D9D9D9"/>
          </w:tcPr>
          <w:p>
            <w:pPr>
              <w:autoSpaceDE w:val="0"/>
              <w:autoSpaceDN w:val="0"/>
              <w:adjustRightInd w:val="0"/>
              <w:spacing w:beforeLines="20" w:before="48" w:afterLines="20" w:after="48"/>
              <w:contextualSpacing/>
              <w:rPr>
                <w:rFonts w:eastAsia="Century Gothic" w:cs="Arial"/>
                <w:b/>
                <w:sz w:val="16"/>
                <w:szCs w:val="16"/>
              </w:rPr>
            </w:pPr>
            <w:r>
              <w:rPr>
                <w:rFonts w:eastAsia="Century Gothic" w:cs="Arial"/>
                <w:b/>
                <w:sz w:val="16"/>
                <w:szCs w:val="16"/>
              </w:rPr>
              <w:t>Präventionsthemen für die Schulung/Ausbildung, Anleitung und Überwachung</w:t>
            </w:r>
          </w:p>
        </w:tc>
        <w:tc>
          <w:tcPr>
            <w:tcW w:w="5954" w:type="dxa"/>
            <w:gridSpan w:val="7"/>
            <w:tcBorders>
              <w:left w:val="single" w:sz="18" w:space="0" w:color="000000"/>
              <w:bottom w:val="nil"/>
              <w:right w:val="single" w:sz="18" w:space="0" w:color="000000"/>
            </w:tcBorders>
            <w:shd w:val="clear" w:color="auto" w:fill="D9D9D9"/>
          </w:tcPr>
          <w:p>
            <w:pPr>
              <w:autoSpaceDE w:val="0"/>
              <w:autoSpaceDN w:val="0"/>
              <w:adjustRightInd w:val="0"/>
              <w:spacing w:beforeLines="20" w:before="48" w:afterLines="20" w:after="48"/>
              <w:contextualSpacing/>
              <w:rPr>
                <w:rFonts w:eastAsia="Century Gothic" w:cs="Arial"/>
                <w:b/>
                <w:color w:val="000000"/>
                <w:sz w:val="16"/>
                <w:szCs w:val="16"/>
              </w:rPr>
            </w:pPr>
            <w:r>
              <w:rPr>
                <w:rFonts w:eastAsia="Century Gothic" w:cs="Arial"/>
                <w:b/>
                <w:color w:val="000000"/>
                <w:sz w:val="16"/>
                <w:szCs w:val="16"/>
              </w:rPr>
              <w:t>Begleitende Massnahmen durch Fachkraft</w:t>
            </w:r>
            <w:r>
              <w:rPr>
                <w:rFonts w:eastAsia="Century Gothic" w:cs="Arial"/>
                <w:b/>
                <w:color w:val="000000"/>
                <w:sz w:val="16"/>
                <w:szCs w:val="16"/>
                <w:vertAlign w:val="superscript"/>
              </w:rPr>
              <w:footnoteReference w:id="2"/>
            </w:r>
            <w:r>
              <w:rPr>
                <w:rFonts w:eastAsia="Century Gothic" w:cs="Arial"/>
                <w:b/>
                <w:color w:val="000000"/>
                <w:sz w:val="16"/>
                <w:szCs w:val="16"/>
              </w:rPr>
              <w:t xml:space="preserve"> im Betrieb</w:t>
            </w:r>
          </w:p>
        </w:tc>
      </w:tr>
      <w:tr>
        <w:tc>
          <w:tcPr>
            <w:tcW w:w="2387" w:type="dxa"/>
            <w:vMerge/>
            <w:tcBorders>
              <w:left w:val="single" w:sz="18"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b/>
                <w:color w:val="0070C0"/>
                <w:sz w:val="16"/>
                <w:szCs w:val="16"/>
              </w:rPr>
            </w:pPr>
          </w:p>
        </w:tc>
        <w:tc>
          <w:tcPr>
            <w:tcW w:w="2915" w:type="dxa"/>
            <w:gridSpan w:val="2"/>
            <w:vMerge/>
            <w:tcBorders>
              <w:left w:val="single" w:sz="2" w:space="0" w:color="000000"/>
              <w:bottom w:val="nil"/>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b/>
                <w:color w:val="0070C0"/>
                <w:sz w:val="16"/>
                <w:szCs w:val="16"/>
              </w:rPr>
            </w:pPr>
          </w:p>
        </w:tc>
        <w:tc>
          <w:tcPr>
            <w:tcW w:w="3969" w:type="dxa"/>
            <w:vMerge/>
            <w:tcBorders>
              <w:left w:val="single" w:sz="2" w:space="0" w:color="000000"/>
              <w:right w:val="single" w:sz="18" w:space="0" w:color="000000"/>
            </w:tcBorders>
            <w:shd w:val="clear" w:color="auto" w:fill="D9D9D9"/>
          </w:tcPr>
          <w:p>
            <w:pPr>
              <w:autoSpaceDE w:val="0"/>
              <w:autoSpaceDN w:val="0"/>
              <w:adjustRightInd w:val="0"/>
              <w:spacing w:beforeLines="20" w:before="48" w:afterLines="20" w:after="48"/>
              <w:contextualSpacing/>
              <w:rPr>
                <w:rFonts w:eastAsia="Century Gothic" w:cs="Arial"/>
                <w:b/>
                <w:color w:val="000000"/>
                <w:sz w:val="16"/>
                <w:szCs w:val="16"/>
              </w:rPr>
            </w:pPr>
          </w:p>
        </w:tc>
        <w:tc>
          <w:tcPr>
            <w:tcW w:w="2188" w:type="dxa"/>
            <w:gridSpan w:val="3"/>
            <w:tcBorders>
              <w:top w:val="nil"/>
              <w:left w:val="single" w:sz="18" w:space="0" w:color="000000"/>
              <w:bottom w:val="nil"/>
              <w:right w:val="single" w:sz="2" w:space="0" w:color="000000"/>
            </w:tcBorders>
            <w:shd w:val="clear" w:color="auto" w:fill="D9D9D9"/>
          </w:tcPr>
          <w:p>
            <w:pPr>
              <w:spacing w:beforeLines="20" w:before="48" w:afterLines="20" w:after="48"/>
              <w:rPr>
                <w:rFonts w:eastAsia="Century Gothic" w:cs="Arial"/>
                <w:color w:val="000000"/>
                <w:sz w:val="16"/>
                <w:szCs w:val="16"/>
              </w:rPr>
            </w:pPr>
            <w:r>
              <w:rPr>
                <w:rFonts w:eastAsia="Century Gothic" w:cs="Arial"/>
                <w:color w:val="000000"/>
                <w:sz w:val="16"/>
                <w:szCs w:val="16"/>
              </w:rPr>
              <w:t>Schulung/Ausbildung</w:t>
            </w:r>
            <w:r>
              <w:rPr>
                <w:rFonts w:eastAsia="Century Gothic" w:cs="Arial"/>
                <w:color w:val="000000"/>
                <w:sz w:val="16"/>
                <w:szCs w:val="16"/>
              </w:rPr>
              <w:br/>
              <w:t>der Lernenden</w:t>
            </w:r>
          </w:p>
        </w:tc>
        <w:tc>
          <w:tcPr>
            <w:tcW w:w="1559" w:type="dxa"/>
            <w:vMerge w:val="restart"/>
            <w:tcBorders>
              <w:top w:val="nil"/>
              <w:left w:val="single" w:sz="2" w:space="0" w:color="000000"/>
              <w:right w:val="single" w:sz="2" w:space="0" w:color="000000"/>
            </w:tcBorders>
            <w:shd w:val="clear" w:color="auto" w:fill="D9D9D9"/>
          </w:tcPr>
          <w:p>
            <w:pPr>
              <w:spacing w:beforeLines="20" w:before="48" w:afterLines="20" w:after="48"/>
              <w:rPr>
                <w:rFonts w:eastAsia="Century Gothic" w:cs="Arial"/>
                <w:color w:val="000000"/>
                <w:sz w:val="16"/>
                <w:szCs w:val="16"/>
              </w:rPr>
            </w:pPr>
            <w:r>
              <w:rPr>
                <w:rFonts w:eastAsia="Century Gothic" w:cs="Arial"/>
                <w:color w:val="000000"/>
                <w:sz w:val="16"/>
                <w:szCs w:val="16"/>
              </w:rPr>
              <w:t>Anleitung</w:t>
            </w:r>
            <w:r>
              <w:rPr>
                <w:rFonts w:eastAsia="Century Gothic" w:cs="Arial"/>
                <w:color w:val="000000"/>
                <w:sz w:val="16"/>
                <w:szCs w:val="16"/>
              </w:rPr>
              <w:br/>
              <w:t>der Lernenden</w:t>
            </w:r>
          </w:p>
        </w:tc>
        <w:tc>
          <w:tcPr>
            <w:tcW w:w="2207" w:type="dxa"/>
            <w:gridSpan w:val="3"/>
            <w:tcBorders>
              <w:top w:val="nil"/>
              <w:left w:val="single" w:sz="2" w:space="0" w:color="000000"/>
              <w:bottom w:val="nil"/>
              <w:right w:val="single" w:sz="18" w:space="0" w:color="000000"/>
            </w:tcBorders>
            <w:shd w:val="clear" w:color="auto" w:fill="D9D9D9"/>
          </w:tcPr>
          <w:p>
            <w:pPr>
              <w:spacing w:beforeLines="20" w:before="48" w:afterLines="20" w:after="48"/>
              <w:rPr>
                <w:rFonts w:eastAsia="Century Gothic" w:cs="Arial"/>
                <w:color w:val="000000"/>
                <w:sz w:val="16"/>
                <w:szCs w:val="16"/>
              </w:rPr>
            </w:pPr>
            <w:r>
              <w:rPr>
                <w:rFonts w:eastAsia="Century Gothic" w:cs="Arial"/>
                <w:color w:val="000000"/>
                <w:sz w:val="16"/>
                <w:szCs w:val="16"/>
              </w:rPr>
              <w:t>Überwachung</w:t>
            </w:r>
            <w:r>
              <w:rPr>
                <w:rFonts w:eastAsia="Century Gothic" w:cs="Arial"/>
                <w:color w:val="000000"/>
                <w:sz w:val="16"/>
                <w:szCs w:val="16"/>
              </w:rPr>
              <w:br/>
              <w:t>der Lernenden</w:t>
            </w:r>
          </w:p>
        </w:tc>
      </w:tr>
      <w:tr>
        <w:trPr>
          <w:trHeight w:val="64"/>
        </w:trPr>
        <w:tc>
          <w:tcPr>
            <w:tcW w:w="2387" w:type="dxa"/>
            <w:vMerge/>
            <w:tcBorders>
              <w:left w:val="single" w:sz="18" w:space="0" w:color="000000"/>
              <w:bottom w:val="single" w:sz="12"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70C0"/>
                <w:sz w:val="16"/>
                <w:szCs w:val="16"/>
              </w:rPr>
            </w:pPr>
          </w:p>
        </w:tc>
        <w:tc>
          <w:tcPr>
            <w:tcW w:w="2268" w:type="dxa"/>
            <w:tcBorders>
              <w:top w:val="nil"/>
              <w:left w:val="single" w:sz="2" w:space="0" w:color="000000"/>
              <w:bottom w:val="single" w:sz="12"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70C0"/>
                <w:sz w:val="16"/>
                <w:szCs w:val="16"/>
              </w:rPr>
            </w:pPr>
          </w:p>
        </w:tc>
        <w:tc>
          <w:tcPr>
            <w:tcW w:w="647" w:type="dxa"/>
            <w:tcBorders>
              <w:top w:val="nil"/>
              <w:left w:val="single" w:sz="2" w:space="0" w:color="000000"/>
              <w:bottom w:val="single" w:sz="12"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70C0"/>
                <w:sz w:val="12"/>
                <w:szCs w:val="16"/>
              </w:rPr>
            </w:pPr>
            <w:proofErr w:type="spellStart"/>
            <w:r>
              <w:rPr>
                <w:rFonts w:eastAsia="Century Gothic" w:cs="Arial"/>
                <w:b/>
                <w:sz w:val="12"/>
                <w:szCs w:val="16"/>
              </w:rPr>
              <w:t>Artike</w:t>
            </w:r>
            <w:proofErr w:type="spellEnd"/>
            <w:r>
              <w:rPr>
                <w:rFonts w:eastAsia="Century Gothic" w:cs="Arial"/>
                <w:b/>
                <w:sz w:val="12"/>
                <w:szCs w:val="16"/>
                <w:vertAlign w:val="superscript"/>
              </w:rPr>
              <w:footnoteReference w:id="3"/>
            </w:r>
            <w:r>
              <w:rPr>
                <w:rFonts w:eastAsia="Century Gothic" w:cs="Arial"/>
                <w:b/>
                <w:sz w:val="12"/>
                <w:szCs w:val="16"/>
              </w:rPr>
              <w:t>l</w:t>
            </w:r>
          </w:p>
        </w:tc>
        <w:tc>
          <w:tcPr>
            <w:tcW w:w="3969" w:type="dxa"/>
            <w:vMerge/>
            <w:tcBorders>
              <w:left w:val="single" w:sz="2" w:space="0" w:color="000000"/>
              <w:bottom w:val="single" w:sz="12" w:space="0" w:color="000000"/>
              <w:right w:val="single" w:sz="18"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0000"/>
                <w:sz w:val="16"/>
                <w:szCs w:val="16"/>
              </w:rPr>
            </w:pPr>
          </w:p>
        </w:tc>
        <w:tc>
          <w:tcPr>
            <w:tcW w:w="771" w:type="dxa"/>
            <w:tcBorders>
              <w:top w:val="nil"/>
              <w:left w:val="single" w:sz="18" w:space="0" w:color="000000"/>
              <w:bottom w:val="single" w:sz="12" w:space="0" w:color="000000"/>
              <w:right w:val="single" w:sz="2" w:space="0" w:color="000000"/>
            </w:tcBorders>
            <w:shd w:val="clear" w:color="auto" w:fill="D9D9D9"/>
            <w:tcMar>
              <w:top w:w="0" w:type="dxa"/>
              <w:left w:w="57" w:type="dxa"/>
              <w:bottom w:w="0" w:type="dxa"/>
              <w:right w:w="57" w:type="dxa"/>
            </w:tcMar>
          </w:tcPr>
          <w:p>
            <w:pPr>
              <w:autoSpaceDE w:val="0"/>
              <w:autoSpaceDN w:val="0"/>
              <w:adjustRightInd w:val="0"/>
              <w:spacing w:beforeLines="20" w:before="48" w:afterLines="20" w:after="48"/>
              <w:contextualSpacing/>
              <w:rPr>
                <w:rFonts w:eastAsia="Century Gothic" w:cs="Arial"/>
                <w:color w:val="000000"/>
                <w:sz w:val="12"/>
                <w:szCs w:val="16"/>
              </w:rPr>
            </w:pPr>
            <w:r>
              <w:rPr>
                <w:rFonts w:eastAsia="Century Gothic" w:cs="Arial"/>
                <w:color w:val="000000"/>
                <w:sz w:val="12"/>
                <w:szCs w:val="16"/>
              </w:rPr>
              <w:t>Ausbildung im Betrieb</w:t>
            </w:r>
          </w:p>
        </w:tc>
        <w:tc>
          <w:tcPr>
            <w:tcW w:w="708" w:type="dxa"/>
            <w:tcBorders>
              <w:top w:val="nil"/>
              <w:left w:val="single" w:sz="2" w:space="0" w:color="000000"/>
              <w:bottom w:val="single" w:sz="12" w:space="0" w:color="000000"/>
              <w:right w:val="single" w:sz="2" w:space="0" w:color="000000"/>
            </w:tcBorders>
            <w:shd w:val="clear" w:color="auto" w:fill="D9D9D9"/>
            <w:tcMar>
              <w:top w:w="0" w:type="dxa"/>
              <w:left w:w="57" w:type="dxa"/>
              <w:bottom w:w="0" w:type="dxa"/>
              <w:right w:w="57" w:type="dxa"/>
            </w:tcMar>
          </w:tcPr>
          <w:p>
            <w:pPr>
              <w:autoSpaceDE w:val="0"/>
              <w:autoSpaceDN w:val="0"/>
              <w:adjustRightInd w:val="0"/>
              <w:spacing w:beforeLines="20" w:before="48" w:afterLines="20" w:after="48"/>
              <w:contextualSpacing/>
              <w:rPr>
                <w:rFonts w:eastAsia="Century Gothic" w:cs="Arial"/>
                <w:color w:val="000000"/>
                <w:sz w:val="12"/>
                <w:szCs w:val="16"/>
              </w:rPr>
            </w:pPr>
            <w:r>
              <w:rPr>
                <w:rFonts w:eastAsia="Century Gothic" w:cs="Arial"/>
                <w:color w:val="000000"/>
                <w:sz w:val="12"/>
                <w:szCs w:val="16"/>
              </w:rPr>
              <w:t>Unterstützung ÜK</w:t>
            </w:r>
          </w:p>
        </w:tc>
        <w:tc>
          <w:tcPr>
            <w:tcW w:w="709" w:type="dxa"/>
            <w:tcBorders>
              <w:top w:val="nil"/>
              <w:left w:val="single" w:sz="2" w:space="0" w:color="000000"/>
              <w:bottom w:val="single" w:sz="12" w:space="0" w:color="000000"/>
              <w:right w:val="single" w:sz="2" w:space="0" w:color="000000"/>
            </w:tcBorders>
            <w:shd w:val="clear" w:color="auto" w:fill="D9D9D9"/>
            <w:tcMar>
              <w:top w:w="0" w:type="dxa"/>
              <w:left w:w="57" w:type="dxa"/>
              <w:bottom w:w="0" w:type="dxa"/>
              <w:right w:w="57" w:type="dxa"/>
            </w:tcMar>
          </w:tcPr>
          <w:p>
            <w:pPr>
              <w:autoSpaceDE w:val="0"/>
              <w:autoSpaceDN w:val="0"/>
              <w:adjustRightInd w:val="0"/>
              <w:spacing w:beforeLines="20" w:before="48" w:afterLines="20" w:after="48"/>
              <w:contextualSpacing/>
              <w:rPr>
                <w:rFonts w:eastAsia="Century Gothic" w:cs="Arial"/>
                <w:color w:val="000000"/>
                <w:sz w:val="12"/>
                <w:szCs w:val="16"/>
              </w:rPr>
            </w:pPr>
            <w:r>
              <w:rPr>
                <w:rFonts w:eastAsia="Century Gothic" w:cs="Arial"/>
                <w:color w:val="000000"/>
                <w:sz w:val="12"/>
                <w:szCs w:val="16"/>
              </w:rPr>
              <w:t>Unterstützung BFS</w:t>
            </w:r>
          </w:p>
        </w:tc>
        <w:tc>
          <w:tcPr>
            <w:tcW w:w="1559" w:type="dxa"/>
            <w:vMerge/>
            <w:tcBorders>
              <w:left w:val="single" w:sz="2" w:space="0" w:color="000000"/>
              <w:bottom w:val="single" w:sz="12"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nil"/>
              <w:left w:val="single" w:sz="2" w:space="0" w:color="000000"/>
              <w:bottom w:val="single" w:sz="12"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0000"/>
                <w:sz w:val="12"/>
                <w:szCs w:val="16"/>
              </w:rPr>
            </w:pPr>
            <w:r>
              <w:rPr>
                <w:rFonts w:eastAsia="Century Gothic" w:cs="Arial"/>
                <w:color w:val="000000"/>
                <w:sz w:val="12"/>
                <w:szCs w:val="16"/>
              </w:rPr>
              <w:t>Ständig</w:t>
            </w:r>
          </w:p>
        </w:tc>
        <w:tc>
          <w:tcPr>
            <w:tcW w:w="709" w:type="dxa"/>
            <w:tcBorders>
              <w:top w:val="nil"/>
              <w:left w:val="single" w:sz="2" w:space="0" w:color="000000"/>
              <w:bottom w:val="single" w:sz="12" w:space="0" w:color="000000"/>
              <w:right w:val="single" w:sz="2"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0000"/>
                <w:sz w:val="12"/>
                <w:szCs w:val="16"/>
              </w:rPr>
            </w:pPr>
            <w:r>
              <w:rPr>
                <w:rFonts w:eastAsia="Century Gothic" w:cs="Arial"/>
                <w:color w:val="000000"/>
                <w:sz w:val="12"/>
                <w:szCs w:val="16"/>
              </w:rPr>
              <w:t>Häufig</w:t>
            </w:r>
          </w:p>
        </w:tc>
        <w:tc>
          <w:tcPr>
            <w:tcW w:w="789" w:type="dxa"/>
            <w:tcBorders>
              <w:top w:val="nil"/>
              <w:left w:val="single" w:sz="2" w:space="0" w:color="000000"/>
              <w:bottom w:val="single" w:sz="12" w:space="0" w:color="000000"/>
              <w:right w:val="single" w:sz="18" w:space="0" w:color="000000"/>
            </w:tcBorders>
            <w:shd w:val="clear" w:color="auto" w:fill="D9D9D9"/>
          </w:tcPr>
          <w:p>
            <w:pPr>
              <w:autoSpaceDE w:val="0"/>
              <w:autoSpaceDN w:val="0"/>
              <w:adjustRightInd w:val="0"/>
              <w:spacing w:beforeLines="20" w:before="48" w:afterLines="20" w:after="48"/>
              <w:contextualSpacing/>
              <w:rPr>
                <w:rFonts w:eastAsia="Century Gothic" w:cs="Arial"/>
                <w:color w:val="000000"/>
                <w:sz w:val="12"/>
                <w:szCs w:val="16"/>
              </w:rPr>
            </w:pPr>
            <w:r>
              <w:rPr>
                <w:rFonts w:eastAsia="Century Gothic" w:cs="Arial"/>
                <w:color w:val="000000"/>
                <w:sz w:val="12"/>
                <w:szCs w:val="16"/>
              </w:rPr>
              <w:t>Gelegentlich</w:t>
            </w:r>
          </w:p>
        </w:tc>
      </w:tr>
      <w:tr>
        <w:tc>
          <w:tcPr>
            <w:tcW w:w="2387" w:type="dxa"/>
            <w:tcBorders>
              <w:top w:val="single" w:sz="1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2268" w:type="dxa"/>
            <w:tcBorders>
              <w:top w:val="single" w:sz="12" w:space="0" w:color="000000"/>
              <w:left w:val="single" w:sz="2" w:space="0" w:color="000000"/>
              <w:bottom w:val="single" w:sz="2" w:space="0" w:color="000000"/>
              <w:right w:val="single" w:sz="2" w:space="0" w:color="000000"/>
            </w:tcBorders>
            <w:shd w:val="clear" w:color="auto" w:fill="FFFFFF"/>
          </w:tcPr>
          <w:p>
            <w:pPr>
              <w:spacing w:beforeLines="20" w:before="48" w:afterLines="20" w:after="48"/>
              <w:ind w:left="170"/>
              <w:rPr>
                <w:rFonts w:cs="Arial"/>
                <w:sz w:val="16"/>
                <w:szCs w:val="16"/>
              </w:rPr>
            </w:pPr>
          </w:p>
        </w:tc>
        <w:tc>
          <w:tcPr>
            <w:tcW w:w="647" w:type="dxa"/>
            <w:tcBorders>
              <w:top w:val="single" w:sz="12" w:space="0" w:color="000000"/>
              <w:left w:val="single" w:sz="2" w:space="0" w:color="000000"/>
              <w:bottom w:val="single" w:sz="2" w:space="0" w:color="000000"/>
              <w:right w:val="single" w:sz="2" w:space="0" w:color="000000"/>
            </w:tcBorders>
            <w:shd w:val="clear" w:color="auto" w:fill="FFFFFF"/>
          </w:tcPr>
          <w:p>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12" w:space="0" w:color="000000"/>
              <w:left w:val="single" w:sz="2" w:space="0" w:color="000000"/>
              <w:bottom w:val="single" w:sz="2" w:space="0" w:color="000000"/>
              <w:right w:val="single" w:sz="18" w:space="0" w:color="000000"/>
            </w:tcBorders>
            <w:shd w:val="clear" w:color="auto" w:fill="auto"/>
          </w:tcPr>
          <w:p>
            <w:pPr>
              <w:spacing w:beforeLines="20" w:before="48" w:afterLines="20" w:after="48"/>
              <w:rPr>
                <w:rFonts w:eastAsia="Century Gothic" w:cs="Arial"/>
                <w:color w:val="000000"/>
                <w:sz w:val="16"/>
                <w:szCs w:val="16"/>
              </w:rPr>
            </w:pPr>
          </w:p>
        </w:tc>
        <w:tc>
          <w:tcPr>
            <w:tcW w:w="771" w:type="dxa"/>
            <w:tcBorders>
              <w:top w:val="single" w:sz="1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1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1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1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1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1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12" w:space="0" w:color="000000"/>
              <w:left w:val="single" w:sz="2" w:space="0" w:color="000000"/>
              <w:bottom w:val="single" w:sz="2" w:space="0" w:color="000000"/>
              <w:right w:val="single" w:sz="18"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r>
        <w:tc>
          <w:tcPr>
            <w:tcW w:w="2387" w:type="dxa"/>
            <w:tcBorders>
              <w:top w:val="single" w:sz="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pPr>
              <w:spacing w:beforeLines="20" w:before="48" w:afterLines="20" w:after="48"/>
              <w:ind w:left="170"/>
              <w:rPr>
                <w:rFonts w:cs="Arial"/>
                <w:sz w:val="16"/>
                <w:szCs w:val="16"/>
              </w:rPr>
            </w:pPr>
          </w:p>
        </w:tc>
        <w:tc>
          <w:tcPr>
            <w:tcW w:w="647" w:type="dxa"/>
            <w:tcBorders>
              <w:top w:val="single" w:sz="2" w:space="0" w:color="000000"/>
              <w:left w:val="single" w:sz="2" w:space="0" w:color="000000"/>
              <w:bottom w:val="single" w:sz="2" w:space="0" w:color="000000"/>
              <w:right w:val="single" w:sz="2" w:space="0" w:color="000000"/>
            </w:tcBorders>
            <w:shd w:val="clear" w:color="auto" w:fill="FFFFFF"/>
          </w:tcPr>
          <w:p>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shd w:val="clear" w:color="auto" w:fill="auto"/>
          </w:tcPr>
          <w:p>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r>
        <w:tc>
          <w:tcPr>
            <w:tcW w:w="2387" w:type="dxa"/>
            <w:tcBorders>
              <w:top w:val="single" w:sz="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pPr>
              <w:spacing w:beforeLines="20" w:before="48" w:afterLines="20" w:after="48"/>
              <w:ind w:left="170"/>
              <w:rPr>
                <w:rFonts w:cs="Arial"/>
                <w:sz w:val="16"/>
                <w:szCs w:val="16"/>
              </w:rPr>
            </w:pPr>
          </w:p>
        </w:tc>
        <w:tc>
          <w:tcPr>
            <w:tcW w:w="647" w:type="dxa"/>
            <w:tcBorders>
              <w:top w:val="single" w:sz="2" w:space="0" w:color="000000"/>
              <w:left w:val="single" w:sz="2" w:space="0" w:color="000000"/>
              <w:bottom w:val="single" w:sz="2" w:space="0" w:color="000000"/>
              <w:right w:val="single" w:sz="2" w:space="0" w:color="000000"/>
            </w:tcBorders>
            <w:shd w:val="clear" w:color="auto" w:fill="FFFFFF"/>
          </w:tcPr>
          <w:p>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shd w:val="clear" w:color="auto" w:fill="auto"/>
          </w:tcPr>
          <w:p>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r>
        <w:tc>
          <w:tcPr>
            <w:tcW w:w="2387" w:type="dxa"/>
            <w:tcBorders>
              <w:top w:val="single" w:sz="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Pr>
          <w:p>
            <w:pPr>
              <w:spacing w:beforeLines="20" w:before="48" w:afterLines="20" w:after="48"/>
              <w:ind w:left="170"/>
              <w:rPr>
                <w:rFonts w:cs="Arial"/>
                <w:sz w:val="16"/>
                <w:szCs w:val="16"/>
              </w:rPr>
            </w:pPr>
          </w:p>
        </w:tc>
        <w:tc>
          <w:tcPr>
            <w:tcW w:w="647" w:type="dxa"/>
            <w:tcBorders>
              <w:top w:val="single" w:sz="2" w:space="0" w:color="000000"/>
              <w:left w:val="single" w:sz="2" w:space="0" w:color="000000"/>
              <w:bottom w:val="single" w:sz="2" w:space="0" w:color="000000"/>
              <w:right w:val="single" w:sz="2" w:space="0" w:color="000000"/>
            </w:tcBorders>
            <w:shd w:val="clear" w:color="auto" w:fill="FFFFFF"/>
          </w:tcPr>
          <w:p>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shd w:val="clear" w:color="auto" w:fill="auto"/>
          </w:tcPr>
          <w:p>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r>
        <w:tc>
          <w:tcPr>
            <w:tcW w:w="2387" w:type="dxa"/>
            <w:tcBorders>
              <w:top w:val="single" w:sz="2" w:space="0" w:color="000000"/>
              <w:left w:val="single" w:sz="18"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p>
            <w:pPr>
              <w:autoSpaceDE w:val="0"/>
              <w:autoSpaceDN w:val="0"/>
              <w:adjustRightInd w:val="0"/>
              <w:spacing w:beforeLines="20" w:before="48" w:afterLines="20" w:after="48"/>
              <w:contextualSpacing/>
              <w:rPr>
                <w:rFonts w:eastAsia="Century Gothic" w:cs="Arial"/>
                <w:color w:val="000000"/>
                <w:sz w:val="16"/>
                <w:szCs w:val="16"/>
              </w:rPr>
            </w:pPr>
          </w:p>
        </w:tc>
        <w:tc>
          <w:tcPr>
            <w:tcW w:w="2268" w:type="dxa"/>
            <w:tcBorders>
              <w:top w:val="single" w:sz="2" w:space="0" w:color="000000"/>
              <w:left w:val="single" w:sz="2" w:space="0" w:color="000000"/>
              <w:right w:val="single" w:sz="2" w:space="0" w:color="000000"/>
            </w:tcBorders>
            <w:shd w:val="clear" w:color="auto" w:fill="FFFFFF"/>
          </w:tcPr>
          <w:p>
            <w:pPr>
              <w:spacing w:beforeLines="20" w:before="48" w:afterLines="20" w:after="48"/>
              <w:ind w:left="170"/>
              <w:rPr>
                <w:rFonts w:cs="Arial"/>
                <w:sz w:val="16"/>
                <w:szCs w:val="16"/>
              </w:rPr>
            </w:pPr>
          </w:p>
        </w:tc>
        <w:tc>
          <w:tcPr>
            <w:tcW w:w="647" w:type="dxa"/>
            <w:tcBorders>
              <w:top w:val="single" w:sz="2" w:space="0" w:color="000000"/>
              <w:left w:val="single" w:sz="2" w:space="0" w:color="000000"/>
              <w:right w:val="single" w:sz="2" w:space="0" w:color="000000"/>
            </w:tcBorders>
            <w:shd w:val="clear" w:color="auto" w:fill="FFFFFF"/>
          </w:tcPr>
          <w:p>
            <w:pPr>
              <w:autoSpaceDE w:val="0"/>
              <w:autoSpaceDN w:val="0"/>
              <w:adjustRightInd w:val="0"/>
              <w:spacing w:beforeLines="20" w:before="48" w:afterLines="20" w:after="48"/>
              <w:contextualSpacing/>
              <w:rPr>
                <w:rFonts w:eastAsia="Century Gothic" w:cs="Arial"/>
                <w:color w:val="000000"/>
                <w:sz w:val="16"/>
                <w:szCs w:val="16"/>
              </w:rPr>
            </w:pPr>
          </w:p>
        </w:tc>
        <w:tc>
          <w:tcPr>
            <w:tcW w:w="3969" w:type="dxa"/>
            <w:tcBorders>
              <w:top w:val="single" w:sz="2" w:space="0" w:color="000000"/>
              <w:left w:val="single" w:sz="2" w:space="0" w:color="000000"/>
              <w:bottom w:val="single" w:sz="2" w:space="0" w:color="000000"/>
              <w:right w:val="single" w:sz="18" w:space="0" w:color="000000"/>
            </w:tcBorders>
            <w:shd w:val="clear" w:color="auto" w:fill="auto"/>
          </w:tcPr>
          <w:p>
            <w:pPr>
              <w:spacing w:beforeLines="20" w:before="48" w:afterLines="20" w:after="48"/>
              <w:rPr>
                <w:rFonts w:eastAsia="Century Gothic" w:cs="Arial"/>
                <w:color w:val="000000"/>
                <w:sz w:val="16"/>
                <w:szCs w:val="16"/>
              </w:rPr>
            </w:pPr>
          </w:p>
        </w:tc>
        <w:tc>
          <w:tcPr>
            <w:tcW w:w="771" w:type="dxa"/>
            <w:tcBorders>
              <w:top w:val="single" w:sz="2" w:space="0" w:color="000000"/>
              <w:left w:val="single" w:sz="18"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8"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c>
          <w:tcPr>
            <w:tcW w:w="789" w:type="dxa"/>
            <w:tcBorders>
              <w:top w:val="single" w:sz="2" w:space="0" w:color="000000"/>
              <w:left w:val="single" w:sz="2" w:space="0" w:color="000000"/>
              <w:bottom w:val="single" w:sz="2" w:space="0" w:color="000000"/>
              <w:right w:val="single" w:sz="18" w:space="0" w:color="000000"/>
            </w:tcBorders>
            <w:shd w:val="clear" w:color="auto" w:fill="auto"/>
          </w:tcPr>
          <w:p>
            <w:pPr>
              <w:autoSpaceDE w:val="0"/>
              <w:autoSpaceDN w:val="0"/>
              <w:adjustRightInd w:val="0"/>
              <w:spacing w:beforeLines="20" w:before="48" w:afterLines="20" w:after="48"/>
              <w:contextualSpacing/>
              <w:rPr>
                <w:rFonts w:eastAsia="Century Gothic" w:cs="Arial"/>
                <w:color w:val="000000"/>
                <w:sz w:val="16"/>
                <w:szCs w:val="16"/>
              </w:rPr>
            </w:pPr>
          </w:p>
        </w:tc>
      </w:tr>
    </w:tbl>
    <w:p>
      <w:pPr>
        <w:autoSpaceDE w:val="0"/>
        <w:autoSpaceDN w:val="0"/>
        <w:adjustRightInd w:val="0"/>
        <w:spacing w:after="0"/>
        <w:rPr>
          <w:rFonts w:eastAsia="Century Gothic" w:cs="Arial"/>
          <w:color w:val="000000"/>
          <w:sz w:val="16"/>
        </w:rPr>
      </w:pPr>
      <w:r>
        <w:rPr>
          <w:rFonts w:eastAsia="Century Gothic" w:cs="Arial"/>
          <w:b/>
          <w:color w:val="000000"/>
          <w:sz w:val="16"/>
        </w:rPr>
        <w:t xml:space="preserve">Legende: </w:t>
      </w:r>
      <w:r>
        <w:rPr>
          <w:rFonts w:eastAsia="Century Gothic" w:cs="Arial"/>
          <w:color w:val="000000"/>
          <w:sz w:val="16"/>
        </w:rPr>
        <w:t>ÜK: überbetriebliche Kurse; BFS: Berufsfachschule;</w:t>
      </w:r>
      <w:r>
        <w:rPr>
          <w:rFonts w:eastAsia="Century Gothic" w:cs="Arial"/>
          <w:b/>
          <w:color w:val="000000"/>
          <w:sz w:val="16"/>
        </w:rPr>
        <w:t xml:space="preserve"> </w:t>
      </w:r>
      <w:r>
        <w:rPr>
          <w:rFonts w:eastAsia="Century Gothic" w:cs="Arial"/>
          <w:b/>
          <w:color w:val="000000"/>
          <w:sz w:val="16"/>
        </w:rPr>
        <w:br/>
      </w:r>
      <w:r>
        <w:rPr>
          <w:rFonts w:eastAsia="Century Gothic" w:cs="Arial"/>
          <w:color w:val="FF0000"/>
          <w:sz w:val="16"/>
        </w:rPr>
        <w:t xml:space="preserve">[Mögliche Abkürzungen: </w:t>
      </w:r>
      <w:proofErr w:type="spellStart"/>
      <w:r>
        <w:rPr>
          <w:rFonts w:eastAsia="Century Gothic" w:cs="Arial"/>
          <w:color w:val="FF0000"/>
          <w:sz w:val="16"/>
        </w:rPr>
        <w:t>NeA</w:t>
      </w:r>
      <w:proofErr w:type="spellEnd"/>
      <w:r>
        <w:rPr>
          <w:rFonts w:eastAsia="Century Gothic" w:cs="Arial"/>
          <w:color w:val="FF0000"/>
          <w:sz w:val="16"/>
        </w:rPr>
        <w:t xml:space="preserve">: Nach erfolgter Ausbildung; BS: Broschüre; CL: Checkliste; </w:t>
      </w:r>
      <w:proofErr w:type="spellStart"/>
      <w:r>
        <w:rPr>
          <w:rFonts w:eastAsia="Century Gothic" w:cs="Arial"/>
          <w:color w:val="FF0000"/>
          <w:sz w:val="16"/>
        </w:rPr>
        <w:t>Lj</w:t>
      </w:r>
      <w:proofErr w:type="spellEnd"/>
      <w:r>
        <w:rPr>
          <w:rFonts w:eastAsia="Century Gothic" w:cs="Arial"/>
          <w:color w:val="FF0000"/>
          <w:sz w:val="16"/>
        </w:rPr>
        <w:t>: Lehrjahr]</w:t>
      </w:r>
    </w:p>
    <w:p>
      <w:pPr>
        <w:autoSpaceDE w:val="0"/>
        <w:autoSpaceDN w:val="0"/>
        <w:adjustRightInd w:val="0"/>
        <w:spacing w:before="360"/>
        <w:rPr>
          <w:rFonts w:eastAsia="Century Gothic" w:cs="Arial"/>
          <w:sz w:val="16"/>
        </w:rPr>
        <w:sectPr>
          <w:headerReference w:type="first" r:id="rId24"/>
          <w:pgSz w:w="16839" w:h="11907" w:orient="landscape" w:code="9"/>
          <w:pgMar w:top="1217" w:right="1236" w:bottom="1134" w:left="851" w:header="680" w:footer="91" w:gutter="0"/>
          <w:cols w:space="708"/>
          <w:titlePg/>
          <w:docGrid w:linePitch="360"/>
        </w:sectPr>
      </w:pPr>
    </w:p>
    <w:p>
      <w:pPr>
        <w:pStyle w:val="berschrift1"/>
        <w:contextualSpacing/>
        <w:rPr>
          <w:color w:val="FF0000"/>
        </w:rPr>
      </w:pPr>
      <w:bookmarkStart w:id="49" w:name="_Toc143691026"/>
      <w:r>
        <w:rPr>
          <w:color w:val="FF0000"/>
        </w:rPr>
        <w:lastRenderedPageBreak/>
        <w:t>[Anhang 3: ]</w:t>
      </w:r>
      <w:bookmarkEnd w:id="49"/>
    </w:p>
    <w:p>
      <w:pPr>
        <w:autoSpaceDE w:val="0"/>
        <w:autoSpaceDN w:val="0"/>
        <w:adjustRightInd w:val="0"/>
        <w:spacing w:before="360"/>
        <w:ind w:right="-425"/>
        <w:rPr>
          <w:b/>
          <w:sz w:val="30"/>
          <w:szCs w:val="30"/>
        </w:rPr>
      </w:pPr>
      <w:r>
        <w:rPr>
          <w:rFonts w:cs="Arial"/>
          <w:b/>
          <w:bCs/>
        </w:rPr>
        <w:br w:type="page"/>
      </w:r>
      <w:bookmarkStart w:id="50" w:name="_Toc143691027"/>
      <w:r>
        <w:rPr>
          <w:rStyle w:val="berschrift1Zchn"/>
        </w:rPr>
        <w:lastRenderedPageBreak/>
        <w:t>Glossar</w:t>
      </w:r>
      <w:bookmarkEnd w:id="50"/>
      <w:r>
        <w:rPr>
          <w:b/>
          <w:bCs/>
          <w:sz w:val="30"/>
          <w:szCs w:val="28"/>
        </w:rPr>
        <w:t xml:space="preserve"> </w:t>
      </w:r>
      <w:r>
        <w:rPr>
          <w:bCs/>
          <w:sz w:val="16"/>
          <w:szCs w:val="16"/>
        </w:rPr>
        <w:t>(</w:t>
      </w:r>
      <w:r>
        <w:rPr>
          <w:rFonts w:cs="Arial"/>
          <w:sz w:val="24"/>
          <w:szCs w:val="24"/>
        </w:rPr>
        <w:t>*</w:t>
      </w:r>
      <w:r>
        <w:rPr>
          <w:rFonts w:cs="Arial"/>
          <w:sz w:val="16"/>
          <w:szCs w:val="16"/>
        </w:rPr>
        <w:t>siehe</w:t>
      </w:r>
      <w:r>
        <w:rPr>
          <w:sz w:val="16"/>
          <w:szCs w:val="16"/>
        </w:rPr>
        <w:t xml:space="preserve"> </w:t>
      </w:r>
      <w:r>
        <w:rPr>
          <w:i/>
          <w:sz w:val="16"/>
          <w:szCs w:val="16"/>
        </w:rPr>
        <w:t xml:space="preserve">Lexikon der Berufsbildung, 4. überarbeitete Auflage 2013, SDDB Verlag, Bern, </w:t>
      </w:r>
      <w:r>
        <w:rPr>
          <w:sz w:val="16"/>
          <w:szCs w:val="16"/>
        </w:rPr>
        <w:t>www.lex.berufsbildung.ch)</w:t>
      </w:r>
    </w:p>
    <w:p>
      <w:pPr>
        <w:widowControl w:val="0"/>
        <w:autoSpaceDE w:val="0"/>
        <w:autoSpaceDN w:val="0"/>
        <w:adjustRightInd w:val="0"/>
        <w:spacing w:before="240" w:after="80"/>
        <w:ind w:right="-142"/>
        <w:rPr>
          <w:b/>
        </w:rPr>
      </w:pPr>
      <w:r>
        <w:rPr>
          <w:b/>
        </w:rPr>
        <w:t>Berufsbildungsverantwortliche*</w:t>
      </w:r>
    </w:p>
    <w:p>
      <w:pPr>
        <w:widowControl w:val="0"/>
        <w:autoSpaceDE w:val="0"/>
        <w:autoSpaceDN w:val="0"/>
        <w:adjustRightInd w:val="0"/>
        <w:spacing w:after="0"/>
        <w:ind w:right="-142"/>
        <w:jc w:val="both"/>
      </w:pPr>
      <w:r>
        <w:t xml:space="preserve">Der Sammelbegriff Berufsbildungsverantwortliche schliesst alle Fachleute ein, die den Lernenden während der beruflichen Grundbildung einen praktischen oder schulischen Bildungsteil vermitteln: Berufsbildner/in in Lehrbetrieben, Berufsbildner/in in </w:t>
      </w:r>
      <w:proofErr w:type="spellStart"/>
      <w:r>
        <w:t>üK</w:t>
      </w:r>
      <w:proofErr w:type="spellEnd"/>
      <w:r>
        <w:t xml:space="preserve">, Lehrkraft für schulische Bildung, </w:t>
      </w:r>
      <w:proofErr w:type="spellStart"/>
      <w:r>
        <w:t>Prüfungsexpert</w:t>
      </w:r>
      <w:proofErr w:type="spellEnd"/>
      <w:r>
        <w:t>/in.</w:t>
      </w:r>
    </w:p>
    <w:p>
      <w:pPr>
        <w:widowControl w:val="0"/>
        <w:autoSpaceDE w:val="0"/>
        <w:autoSpaceDN w:val="0"/>
        <w:adjustRightInd w:val="0"/>
        <w:spacing w:before="240" w:after="80"/>
        <w:ind w:right="-142"/>
        <w:rPr>
          <w:b/>
        </w:rPr>
      </w:pPr>
      <w:r>
        <w:rPr>
          <w:b/>
        </w:rPr>
        <w:t>Bildungsbericht*</w:t>
      </w:r>
    </w:p>
    <w:p>
      <w:pPr>
        <w:widowControl w:val="0"/>
        <w:autoSpaceDE w:val="0"/>
        <w:autoSpaceDN w:val="0"/>
        <w:adjustRightInd w:val="0"/>
        <w:spacing w:after="0"/>
        <w:ind w:right="-142"/>
        <w:jc w:val="both"/>
      </w:pPr>
      <w:r>
        <w:t xml:space="preserve">Im Bildungsbericht wird die periodisch stattfindende Überprüfung des Lernerfolgs im Lehrbetrieb festgehalten. Diese findet in Form eines strukturierten Gesprächs zwischen Berufsbildner/in und lernender Person statt. </w:t>
      </w:r>
    </w:p>
    <w:p>
      <w:pPr>
        <w:widowControl w:val="0"/>
        <w:autoSpaceDE w:val="0"/>
        <w:autoSpaceDN w:val="0"/>
        <w:adjustRightInd w:val="0"/>
        <w:spacing w:before="240" w:after="80"/>
        <w:ind w:right="-142"/>
        <w:rPr>
          <w:b/>
        </w:rPr>
      </w:pPr>
      <w:r>
        <w:rPr>
          <w:b/>
        </w:rPr>
        <w:t>Bildungsplan</w:t>
      </w:r>
    </w:p>
    <w:p>
      <w:pPr>
        <w:widowControl w:val="0"/>
        <w:autoSpaceDE w:val="0"/>
        <w:autoSpaceDN w:val="0"/>
        <w:adjustRightInd w:val="0"/>
        <w:spacing w:after="0"/>
        <w:ind w:right="-142"/>
        <w:jc w:val="both"/>
        <w:rPr>
          <w:strike/>
        </w:rPr>
      </w:pPr>
      <w:r>
        <w:t xml:space="preserve">Der Bildungsplan ist Teil der </w:t>
      </w:r>
      <w:proofErr w:type="spellStart"/>
      <w:r>
        <w:t>BiVo</w:t>
      </w:r>
      <w:proofErr w:type="spellEnd"/>
      <w:r>
        <w:t xml:space="preserve"> und beinhaltet neben den berufspädagogischen Grundlagen das Qualifikationsprofil sowie die in Handlungskompetenzbereiche gruppierten Handlungskompetenzen mit den Leistungszielen je Lernort. Verantwortlich für die Inhalte des Bildungsplans ist die nationale </w:t>
      </w:r>
      <w:proofErr w:type="spellStart"/>
      <w:r>
        <w:t>OdA</w:t>
      </w:r>
      <w:proofErr w:type="spellEnd"/>
      <w:r>
        <w:t xml:space="preserve">. Der Bildungsplan wird von der/den </w:t>
      </w:r>
      <w:proofErr w:type="spellStart"/>
      <w:r>
        <w:t>OdA</w:t>
      </w:r>
      <w:proofErr w:type="spellEnd"/>
      <w:r>
        <w:t xml:space="preserve"> erstellt und unterzeichnet.</w:t>
      </w:r>
    </w:p>
    <w:p>
      <w:pPr>
        <w:widowControl w:val="0"/>
        <w:autoSpaceDE w:val="0"/>
        <w:autoSpaceDN w:val="0"/>
        <w:adjustRightInd w:val="0"/>
        <w:spacing w:before="240" w:after="80"/>
        <w:ind w:right="-142"/>
        <w:rPr>
          <w:b/>
        </w:rPr>
      </w:pPr>
      <w:r>
        <w:rPr>
          <w:b/>
        </w:rPr>
        <w:t>Europäischer Qualifikationsrahmen (EQR)</w:t>
      </w:r>
    </w:p>
    <w:p>
      <w:pPr>
        <w:widowControl w:val="0"/>
        <w:autoSpaceDE w:val="0"/>
        <w:autoSpaceDN w:val="0"/>
        <w:adjustRightInd w:val="0"/>
        <w:spacing w:after="0"/>
        <w:ind w:right="-142"/>
        <w:jc w:val="both"/>
      </w:pPr>
      <w:r>
        <w:t xml:space="preserve">Der Europäische Qualifikationsrahmen für lebenslanges Lernen (EQR) hat zum Ziel, berufliche Qualifikationen und Kompetenzen in Europa vergleichbar zu machen. Um die nationalen Qualifikationen mit dem EQR zu verbinden und dadurch mit den Qualifikationen von anderen Staaten vergleichen zu können, entwickeln verschiedene Staaten nationale Qualifikationsrahmen (NQR). </w:t>
      </w:r>
    </w:p>
    <w:p>
      <w:pPr>
        <w:widowControl w:val="0"/>
        <w:autoSpaceDE w:val="0"/>
        <w:autoSpaceDN w:val="0"/>
        <w:adjustRightInd w:val="0"/>
        <w:spacing w:before="240" w:after="80"/>
        <w:ind w:right="-142"/>
        <w:rPr>
          <w:b/>
        </w:rPr>
      </w:pPr>
      <w:r>
        <w:rPr>
          <w:b/>
        </w:rPr>
        <w:t>Handlungskompetenz (HK)</w:t>
      </w:r>
    </w:p>
    <w:p>
      <w:pPr>
        <w:pStyle w:val="Listenabsatz"/>
        <w:autoSpaceDE w:val="0"/>
        <w:autoSpaceDN w:val="0"/>
        <w:spacing w:after="0"/>
        <w:ind w:left="0" w:right="-142"/>
        <w:jc w:val="both"/>
        <w:rPr>
          <w:i/>
          <w:iCs/>
        </w:rPr>
      </w:pPr>
      <w:r>
        <w:t>Handlungskompetenz zeigt sich in der erfolgreichen Bewältigung einer beruflichen Handlungssituation. Dazu setzt eine kompetente Berufsfachperson selbstorganisiert eine situationsspezifische Kombination von Kenntnissen, Fertigkeiten und Haltungen ein. In der Ausbildung erwerben die Lernenden die erforderlichen Fach-, Methoden-, Sozial- und Selbstkompetenzen zur jeweiligen Handlungskompetenz.</w:t>
      </w:r>
      <w:r>
        <w:rPr>
          <w:i/>
          <w:iCs/>
        </w:rPr>
        <w:t xml:space="preserve"> </w:t>
      </w:r>
    </w:p>
    <w:p>
      <w:pPr>
        <w:widowControl w:val="0"/>
        <w:autoSpaceDE w:val="0"/>
        <w:autoSpaceDN w:val="0"/>
        <w:adjustRightInd w:val="0"/>
        <w:spacing w:before="240" w:after="80"/>
        <w:ind w:right="-142"/>
        <w:rPr>
          <w:b/>
        </w:rPr>
      </w:pPr>
      <w:r>
        <w:rPr>
          <w:b/>
        </w:rPr>
        <w:t>Handlungskompetenzbereich (HKB)</w:t>
      </w:r>
    </w:p>
    <w:p>
      <w:pPr>
        <w:widowControl w:val="0"/>
        <w:autoSpaceDE w:val="0"/>
        <w:autoSpaceDN w:val="0"/>
        <w:adjustRightInd w:val="0"/>
        <w:spacing w:after="0"/>
        <w:ind w:right="-142"/>
        <w:jc w:val="both"/>
      </w:pPr>
      <w:r>
        <w:t xml:space="preserve">Berufliche Handlungen, d.h. Tätigkeiten, welche ähnliche Kompetenzen einfordern oder zu einem ähnlichen Arbeitsprozess gehören, sind in Handlungskompetenzbereiche gruppiert. </w:t>
      </w:r>
    </w:p>
    <w:p>
      <w:pPr>
        <w:widowControl w:val="0"/>
        <w:autoSpaceDE w:val="0"/>
        <w:autoSpaceDN w:val="0"/>
        <w:adjustRightInd w:val="0"/>
        <w:spacing w:before="240" w:after="80"/>
        <w:ind w:right="-142"/>
        <w:rPr>
          <w:b/>
        </w:rPr>
      </w:pPr>
      <w:r>
        <w:rPr>
          <w:b/>
        </w:rPr>
        <w:t>Individuelle praktische Arbeit (IPA)</w:t>
      </w:r>
    </w:p>
    <w:p>
      <w:pPr>
        <w:spacing w:after="0"/>
        <w:ind w:right="-142"/>
        <w:jc w:val="both"/>
      </w:pPr>
      <w:r>
        <w:t xml:space="preserve">Die IPA ist eine der beiden Möglichkeiten der Kompetenzprüfung im Qualifikationsbereich praktische Arbeit. Die Prüfung findet im Lehrbetrieb anhand eines betrieblichen Auftrags statt. Sie richtet sich nach den jeweiligen berufsspezifischen </w:t>
      </w:r>
      <w:r>
        <w:rPr>
          <w:rFonts w:cs="Arial"/>
        </w:rPr>
        <w:t>«</w:t>
      </w:r>
      <w:r>
        <w:t>Ausführungsbestimmungen zum Qualifikationsverfahren mit Abschlussprüfung</w:t>
      </w:r>
      <w:r>
        <w:rPr>
          <w:rFonts w:cs="Arial"/>
        </w:rPr>
        <w:t>»</w:t>
      </w:r>
      <w:r>
        <w:t xml:space="preserve">. </w:t>
      </w:r>
    </w:p>
    <w:p>
      <w:pPr>
        <w:widowControl w:val="0"/>
        <w:autoSpaceDE w:val="0"/>
        <w:autoSpaceDN w:val="0"/>
        <w:adjustRightInd w:val="0"/>
        <w:spacing w:before="240" w:after="80"/>
        <w:ind w:right="-142"/>
        <w:rPr>
          <w:b/>
        </w:rPr>
      </w:pPr>
      <w:r>
        <w:rPr>
          <w:b/>
        </w:rPr>
        <w:t>Kommission für Berufsentwicklung und Qualität (Kommission B&amp;Q)</w:t>
      </w:r>
    </w:p>
    <w:p>
      <w:pPr>
        <w:autoSpaceDE w:val="0"/>
        <w:autoSpaceDN w:val="0"/>
        <w:adjustRightInd w:val="0"/>
        <w:spacing w:after="0"/>
        <w:ind w:right="-142"/>
        <w:rPr>
          <w:rFonts w:eastAsia="Century Gothic" w:cs="Arial"/>
        </w:rPr>
      </w:pPr>
      <w:r>
        <w:rPr>
          <w:rFonts w:eastAsia="Century Gothic" w:cs="Arial"/>
        </w:rPr>
        <w:t>Jede Verordnung über die berufliche Grundbildung definiert in Abschnitt 10 die Schweizerische Kommission für Berufsentwicklung und Qualität für den jeweiligen Beruf oder das entsprechende Berufsfeld.</w:t>
      </w:r>
    </w:p>
    <w:p>
      <w:pPr>
        <w:autoSpaceDE w:val="0"/>
        <w:autoSpaceDN w:val="0"/>
        <w:adjustRightInd w:val="0"/>
        <w:spacing w:after="0"/>
        <w:ind w:right="-142"/>
        <w:rPr>
          <w:rFonts w:eastAsia="Century Gothic" w:cs="Arial"/>
        </w:rPr>
      </w:pPr>
      <w:r>
        <w:rPr>
          <w:rFonts w:eastAsia="Century Gothic" w:cs="Arial"/>
        </w:rPr>
        <w:t xml:space="preserve">Die Kommission B&amp;Q ist ein verbundpartnerschaftlich zusammengesetztes, strategisches Organ mit Aufsichtsfunktion und ein </w:t>
      </w:r>
      <w:proofErr w:type="spellStart"/>
      <w:r>
        <w:rPr>
          <w:rFonts w:eastAsia="Century Gothic" w:cs="Arial"/>
        </w:rPr>
        <w:t>zukunftgerichtetes</w:t>
      </w:r>
      <w:proofErr w:type="spellEnd"/>
      <w:r>
        <w:rPr>
          <w:rFonts w:eastAsia="Century Gothic" w:cs="Arial"/>
        </w:rPr>
        <w:t xml:space="preserve"> Qualitätsgremium nach Art. 8 BBG</w:t>
      </w:r>
      <w:r>
        <w:rPr>
          <w:rStyle w:val="Funotenzeichen"/>
          <w:rFonts w:eastAsia="Century Gothic" w:cs="Arial"/>
        </w:rPr>
        <w:footnoteReference w:id="4"/>
      </w:r>
      <w:r>
        <w:rPr>
          <w:rFonts w:eastAsia="Century Gothic" w:cs="Arial"/>
        </w:rPr>
        <w:t>.</w:t>
      </w:r>
    </w:p>
    <w:p>
      <w:pPr>
        <w:widowControl w:val="0"/>
        <w:autoSpaceDE w:val="0"/>
        <w:autoSpaceDN w:val="0"/>
        <w:adjustRightInd w:val="0"/>
        <w:spacing w:before="240" w:after="80"/>
        <w:ind w:right="-142"/>
        <w:rPr>
          <w:b/>
        </w:rPr>
      </w:pPr>
      <w:r>
        <w:rPr>
          <w:b/>
        </w:rPr>
        <w:t>Lehrbetrieb*</w:t>
      </w:r>
    </w:p>
    <w:p>
      <w:pPr>
        <w:widowControl w:val="0"/>
        <w:autoSpaceDE w:val="0"/>
        <w:autoSpaceDN w:val="0"/>
        <w:adjustRightInd w:val="0"/>
        <w:spacing w:after="0"/>
        <w:ind w:right="-142"/>
        <w:jc w:val="both"/>
      </w:pPr>
      <w:r>
        <w:t>Der Lehrbetrieb ist im dualen Berufsbildungssystem ein Produktions- oder Dienstleistungsunternehmen, in dem die Bildung in beruflicher Praxis stattfindet. Die Unternehmen brauchen eine Bildungsbewilligung der kantonalen Aufsichtsbehörde.</w:t>
      </w:r>
    </w:p>
    <w:p>
      <w:pPr>
        <w:widowControl w:val="0"/>
        <w:autoSpaceDE w:val="0"/>
        <w:autoSpaceDN w:val="0"/>
        <w:adjustRightInd w:val="0"/>
        <w:spacing w:before="240" w:after="80"/>
        <w:ind w:right="-142"/>
        <w:rPr>
          <w:b/>
        </w:rPr>
      </w:pPr>
      <w:r>
        <w:rPr>
          <w:b/>
        </w:rPr>
        <w:t>Leistungsziele (LZ)</w:t>
      </w:r>
    </w:p>
    <w:p>
      <w:pPr>
        <w:widowControl w:val="0"/>
        <w:autoSpaceDE w:val="0"/>
        <w:autoSpaceDN w:val="0"/>
        <w:adjustRightInd w:val="0"/>
        <w:spacing w:after="0"/>
        <w:ind w:right="-142"/>
        <w:jc w:val="both"/>
      </w:pPr>
      <w:r>
        <w:t>Die Leistungsziele konkretisieren die Handlungskompetenz und gehen auf die aktuellen Bedürfnisse der wirtschaftlichen und gesellschaftlichen Entwicklung ein. Die Leistungsziele sind bezüglich der Lernortko</w:t>
      </w:r>
      <w:r>
        <w:lastRenderedPageBreak/>
        <w:t xml:space="preserve">operation aufeinander abgestimmt. Sie sind für Lehrbetrieb, Berufsfachschule und </w:t>
      </w:r>
      <w:proofErr w:type="spellStart"/>
      <w:r>
        <w:t>üK</w:t>
      </w:r>
      <w:proofErr w:type="spellEnd"/>
      <w:r>
        <w:t xml:space="preserve"> meistens unterschiedlich, die Formulierung kann auch gleichlautend sein (z.B. bei der Arbeitssicherheit, beim Gesundheitsschutz oder bei handwerklichen Tätigkeiten).</w:t>
      </w:r>
    </w:p>
    <w:p>
      <w:pPr>
        <w:widowControl w:val="0"/>
        <w:autoSpaceDE w:val="0"/>
        <w:autoSpaceDN w:val="0"/>
        <w:adjustRightInd w:val="0"/>
        <w:spacing w:before="240" w:after="80"/>
        <w:ind w:right="-142"/>
        <w:rPr>
          <w:b/>
        </w:rPr>
      </w:pPr>
      <w:r>
        <w:rPr>
          <w:b/>
        </w:rPr>
        <w:t>Lerndokumentation*</w:t>
      </w:r>
    </w:p>
    <w:p>
      <w:pPr>
        <w:widowControl w:val="0"/>
        <w:autoSpaceDE w:val="0"/>
        <w:autoSpaceDN w:val="0"/>
        <w:adjustRightInd w:val="0"/>
        <w:spacing w:after="0"/>
        <w:ind w:right="-142"/>
        <w:jc w:val="both"/>
      </w:pPr>
      <w:r>
        <w:t>Die Lerndokumentation ist ein Instrument zur Förderung der Qualität der Bildung in beruflicher Praxis. Die lernende Person hält darin selbständig alle wesentlichen Arbeiten im Zusammenhang mit den zu erwerbenden Handlungskompetenzen fest. Die Berufsbildnerin oder der Berufsbildner ersieht aus der Lerndokumentation den Bildungsverlauf und das persönliche Engagement der lernenden Person.</w:t>
      </w:r>
    </w:p>
    <w:p>
      <w:pPr>
        <w:widowControl w:val="0"/>
        <w:autoSpaceDE w:val="0"/>
        <w:autoSpaceDN w:val="0"/>
        <w:adjustRightInd w:val="0"/>
        <w:spacing w:before="240" w:after="80"/>
        <w:ind w:right="-142"/>
        <w:rPr>
          <w:b/>
        </w:rPr>
      </w:pPr>
      <w:r>
        <w:rPr>
          <w:b/>
        </w:rPr>
        <w:t>Lernende Person*</w:t>
      </w:r>
    </w:p>
    <w:p>
      <w:pPr>
        <w:widowControl w:val="0"/>
        <w:autoSpaceDE w:val="0"/>
        <w:autoSpaceDN w:val="0"/>
        <w:adjustRightInd w:val="0"/>
        <w:spacing w:after="0"/>
        <w:ind w:right="-142"/>
        <w:jc w:val="both"/>
      </w:pPr>
      <w:r>
        <w:t>Als lernende Person gilt, wer die obligatorische Schulzeit beendet hat und auf Grund eines Lehrvertrags einen Beruf erlernt, der in einer Bildungsverordnung geregelt ist.</w:t>
      </w:r>
    </w:p>
    <w:p>
      <w:pPr>
        <w:widowControl w:val="0"/>
        <w:autoSpaceDE w:val="0"/>
        <w:autoSpaceDN w:val="0"/>
        <w:adjustRightInd w:val="0"/>
        <w:spacing w:before="240" w:after="80"/>
        <w:ind w:right="-142"/>
        <w:rPr>
          <w:b/>
        </w:rPr>
      </w:pPr>
      <w:r>
        <w:rPr>
          <w:b/>
        </w:rPr>
        <w:t>Lernorte*</w:t>
      </w:r>
    </w:p>
    <w:p>
      <w:pPr>
        <w:widowControl w:val="0"/>
        <w:autoSpaceDE w:val="0"/>
        <w:autoSpaceDN w:val="0"/>
        <w:adjustRightInd w:val="0"/>
        <w:spacing w:after="0"/>
        <w:ind w:right="-142"/>
        <w:jc w:val="both"/>
      </w:pPr>
      <w:r>
        <w:t>Die Stärke der dualen beruflichen Grundbildung ist der enge Bezug zur Arbeitswelt. Dieser widerspiegelt sich in der Zusammenarbeit der drei Lernorte untereinander, die gemeinsam die gesamte berufliche Grundbildung vermitteln: der Lehrbetrieb, die Berufsfachschule und die überbetrieblichen Kurse.</w:t>
      </w:r>
    </w:p>
    <w:p>
      <w:pPr>
        <w:widowControl w:val="0"/>
        <w:autoSpaceDE w:val="0"/>
        <w:autoSpaceDN w:val="0"/>
        <w:adjustRightInd w:val="0"/>
        <w:spacing w:before="240" w:after="80"/>
        <w:ind w:right="-142"/>
        <w:rPr>
          <w:b/>
        </w:rPr>
      </w:pPr>
      <w:r>
        <w:rPr>
          <w:b/>
        </w:rPr>
        <w:t>Nationaler Qualifikationsrahmen Berufsbildung (NQR Berufsbildung)</w:t>
      </w:r>
    </w:p>
    <w:p>
      <w:pPr>
        <w:autoSpaceDE w:val="0"/>
        <w:autoSpaceDN w:val="0"/>
        <w:adjustRightInd w:val="0"/>
        <w:spacing w:after="0"/>
      </w:pPr>
      <w:r>
        <w:t>Mit dem NQR Berufsbildung sollen die nationale und die internationale Transparenz und Vergleichbarkeit der Berufsbildungsabschlüsse hergestellt und damit die Mobilität im Arbeitsmarkt gefördert werden. Der Qualifikationsrahmen umfasst acht Niveaustufen mit den drei Anforderungskategorien «Kenntnisse», «Fertigkeiten» und «Kompetenzen». Zu jedem Abschluss der beruflichen Grundbildung wird eine standardisierte Zeugniserläuterung erstellt.</w:t>
      </w:r>
    </w:p>
    <w:p>
      <w:pPr>
        <w:widowControl w:val="0"/>
        <w:autoSpaceDE w:val="0"/>
        <w:autoSpaceDN w:val="0"/>
        <w:adjustRightInd w:val="0"/>
        <w:spacing w:before="240" w:after="80"/>
        <w:ind w:right="-142"/>
        <w:rPr>
          <w:b/>
        </w:rPr>
      </w:pPr>
      <w:r>
        <w:rPr>
          <w:b/>
        </w:rPr>
        <w:t>Organisation der Arbeitswelt (</w:t>
      </w:r>
      <w:proofErr w:type="spellStart"/>
      <w:r>
        <w:rPr>
          <w:b/>
        </w:rPr>
        <w:t>OdA</w:t>
      </w:r>
      <w:proofErr w:type="spellEnd"/>
      <w:r>
        <w:rPr>
          <w:b/>
        </w:rPr>
        <w:t>)*</w:t>
      </w:r>
    </w:p>
    <w:p>
      <w:pPr>
        <w:widowControl w:val="0"/>
        <w:autoSpaceDE w:val="0"/>
        <w:autoSpaceDN w:val="0"/>
        <w:adjustRightInd w:val="0"/>
        <w:spacing w:after="0"/>
        <w:ind w:right="-142"/>
        <w:jc w:val="both"/>
      </w:pPr>
      <w:r>
        <w:t xml:space="preserve">„Organisationen der Arbeitswelt“ ist ein Sammelbegriff für Trägerschaften. Diese können Sozialpartner, Berufsverbände und Branchenorganisationen sowie andere Organisationen und Anbieter der Berufsbildung sein. Die für einen Beruf zuständige </w:t>
      </w:r>
      <w:proofErr w:type="spellStart"/>
      <w:r>
        <w:t>OdA</w:t>
      </w:r>
      <w:proofErr w:type="spellEnd"/>
      <w:r>
        <w:t xml:space="preserve"> definiert die Bildungsinhalte im Bildungsplan, organisiert die berufliche Grundbildung und bildet die Trägerschaft für die überbetrieblichen Kurse. </w:t>
      </w:r>
    </w:p>
    <w:p>
      <w:pPr>
        <w:widowControl w:val="0"/>
        <w:autoSpaceDE w:val="0"/>
        <w:autoSpaceDN w:val="0"/>
        <w:adjustRightInd w:val="0"/>
        <w:spacing w:before="240" w:after="80"/>
        <w:ind w:right="-142"/>
        <w:rPr>
          <w:b/>
        </w:rPr>
      </w:pPr>
      <w:r>
        <w:rPr>
          <w:b/>
        </w:rPr>
        <w:t>Qualifikationsbereiche*</w:t>
      </w:r>
    </w:p>
    <w:p>
      <w:pPr>
        <w:widowControl w:val="0"/>
        <w:autoSpaceDE w:val="0"/>
        <w:autoSpaceDN w:val="0"/>
        <w:adjustRightInd w:val="0"/>
        <w:spacing w:after="0"/>
        <w:ind w:right="-142"/>
      </w:pPr>
      <w:r>
        <w:t xml:space="preserve">Grundsätzlich werden drei Qualifikationsbereiche in der Bildungsverordnung festgelegt: praktische Arbeit, Berufskenntnisse und Allgemeinbildung. </w:t>
      </w:r>
    </w:p>
    <w:p>
      <w:pPr>
        <w:widowControl w:val="0"/>
        <w:numPr>
          <w:ilvl w:val="0"/>
          <w:numId w:val="34"/>
        </w:numPr>
        <w:autoSpaceDE w:val="0"/>
        <w:autoSpaceDN w:val="0"/>
        <w:adjustRightInd w:val="0"/>
        <w:spacing w:before="120" w:after="0"/>
        <w:ind w:left="714" w:right="-142" w:hanging="357"/>
      </w:pPr>
      <w:r>
        <w:rPr>
          <w:b/>
        </w:rPr>
        <w:t>Qualifikationsbereich Praktische Arbeit</w:t>
      </w:r>
      <w:r>
        <w:rPr>
          <w:rFonts w:cs="Arial"/>
          <w:sz w:val="24"/>
          <w:szCs w:val="24"/>
        </w:rPr>
        <w:t xml:space="preserve">: </w:t>
      </w:r>
      <w:r>
        <w:t>Für diesen existieren zwei Formen: die individuelle praktische Arbeit (IPA) oder die vorgegebene praktische Arbeit (VPA).</w:t>
      </w:r>
    </w:p>
    <w:p>
      <w:pPr>
        <w:widowControl w:val="0"/>
        <w:numPr>
          <w:ilvl w:val="0"/>
          <w:numId w:val="34"/>
        </w:numPr>
        <w:autoSpaceDE w:val="0"/>
        <w:autoSpaceDN w:val="0"/>
        <w:adjustRightInd w:val="0"/>
        <w:spacing w:before="120" w:after="0"/>
        <w:ind w:left="714" w:right="-142" w:hanging="357"/>
        <w:rPr>
          <w:b/>
        </w:rPr>
      </w:pPr>
      <w:r>
        <w:rPr>
          <w:b/>
        </w:rPr>
        <w:t>Qualifikationsbereich Berufskenntnisse</w:t>
      </w:r>
      <w:r>
        <w:rPr>
          <w:rFonts w:cs="Arial"/>
          <w:sz w:val="24"/>
          <w:szCs w:val="24"/>
        </w:rPr>
        <w:t xml:space="preserve">: </w:t>
      </w:r>
      <w:r>
        <w:t>Die Berufskenntnisprüfung bildet den theoretischen/schulischen Teil der Abschlussprüfung. Die lernende Person wird schriftlich oder schriftlich und mündlich geprüft. In begründeten Fällen kann die Allgemeinbildung zusammen mit den Berufskenntnissen vermittelt und geprüft werden.</w:t>
      </w:r>
    </w:p>
    <w:p>
      <w:pPr>
        <w:widowControl w:val="0"/>
        <w:numPr>
          <w:ilvl w:val="0"/>
          <w:numId w:val="34"/>
        </w:numPr>
        <w:autoSpaceDE w:val="0"/>
        <w:autoSpaceDN w:val="0"/>
        <w:adjustRightInd w:val="0"/>
        <w:spacing w:before="120" w:after="0"/>
        <w:ind w:left="714" w:right="-142" w:hanging="357"/>
        <w:rPr>
          <w:b/>
        </w:rPr>
      </w:pPr>
      <w:r>
        <w:rPr>
          <w:b/>
        </w:rPr>
        <w:t xml:space="preserve">Qualifikationsbereich Allgemeinbildung: </w:t>
      </w:r>
      <w:r>
        <w:t>Der Qualifikationsbereich richtet sich nach der Verordnung des SBFI vom 27. April 2006</w:t>
      </w:r>
      <w:r>
        <w:rPr>
          <w:rStyle w:val="Funotenzeichen"/>
        </w:rPr>
        <w:footnoteReference w:id="5"/>
      </w:r>
      <w:r>
        <w:t xml:space="preserve"> über Mindestvorschriften für die Allgemeinbildung in der beruflichen Grundbildung. Wird die Allgemeinbildung integriert vermittelt, so wird sie gemeinsam mit dem Qualifikationsbereich Berufskenntnisse geprüft.</w:t>
      </w:r>
    </w:p>
    <w:p>
      <w:pPr>
        <w:widowControl w:val="0"/>
        <w:autoSpaceDE w:val="0"/>
        <w:autoSpaceDN w:val="0"/>
        <w:adjustRightInd w:val="0"/>
        <w:spacing w:before="240" w:after="80"/>
        <w:ind w:right="-142"/>
        <w:rPr>
          <w:b/>
        </w:rPr>
      </w:pPr>
      <w:r>
        <w:rPr>
          <w:b/>
        </w:rPr>
        <w:t>Qualifikationsprofil</w:t>
      </w:r>
    </w:p>
    <w:p>
      <w:pPr>
        <w:widowControl w:val="0"/>
        <w:autoSpaceDE w:val="0"/>
        <w:autoSpaceDN w:val="0"/>
        <w:adjustRightInd w:val="0"/>
        <w:spacing w:after="0"/>
        <w:ind w:right="-142"/>
      </w:pPr>
      <w:r>
        <w:t>Das Qualifikationsprofil beschreibt die Handlungskompetenzen, über die eine lernende Person am Ende der Ausbildung verfügen muss. Das Qualifikationsprofil wird aus dem Tätigkeitsprofil entwickelt und dient als Grundlage für die Erarbeitung des Bildungsplans.</w:t>
      </w:r>
    </w:p>
    <w:p>
      <w:pPr>
        <w:widowControl w:val="0"/>
        <w:autoSpaceDE w:val="0"/>
        <w:autoSpaceDN w:val="0"/>
        <w:adjustRightInd w:val="0"/>
        <w:spacing w:before="240" w:after="80"/>
        <w:ind w:right="-142"/>
        <w:rPr>
          <w:b/>
        </w:rPr>
      </w:pPr>
      <w:r>
        <w:rPr>
          <w:b/>
        </w:rPr>
        <w:t>Qualifikationsverfahren (QV)*</w:t>
      </w:r>
    </w:p>
    <w:p>
      <w:pPr>
        <w:widowControl w:val="0"/>
        <w:autoSpaceDE w:val="0"/>
        <w:autoSpaceDN w:val="0"/>
        <w:adjustRightInd w:val="0"/>
        <w:spacing w:after="0"/>
        <w:ind w:right="-142"/>
        <w:jc w:val="both"/>
      </w:pPr>
      <w:r>
        <w:t xml:space="preserve">Qualifikationsverfahren ist der Oberbegriff für alle Verfahren, mit denen festgestellt wird, ob eine Person über die in der jeweiligen Bildungsverordnung festgelegten Handlungskompetenzen verfügt. </w:t>
      </w:r>
    </w:p>
    <w:p>
      <w:pPr>
        <w:widowControl w:val="0"/>
        <w:autoSpaceDE w:val="0"/>
        <w:autoSpaceDN w:val="0"/>
        <w:adjustRightInd w:val="0"/>
        <w:spacing w:before="240" w:after="80"/>
        <w:ind w:right="-142"/>
        <w:rPr>
          <w:b/>
        </w:rPr>
      </w:pPr>
      <w:r>
        <w:rPr>
          <w:b/>
        </w:rPr>
        <w:lastRenderedPageBreak/>
        <w:t>Staatssekretariat für Bildung, Forschung und Innovation (SBFI)</w:t>
      </w:r>
    </w:p>
    <w:p>
      <w:pPr>
        <w:widowControl w:val="0"/>
        <w:autoSpaceDE w:val="0"/>
        <w:autoSpaceDN w:val="0"/>
        <w:adjustRightInd w:val="0"/>
        <w:spacing w:after="0"/>
        <w:ind w:right="-142"/>
        <w:jc w:val="both"/>
      </w:pPr>
      <w:r>
        <w:t>Zusammen mit den Verbundpartnern (</w:t>
      </w:r>
      <w:proofErr w:type="spellStart"/>
      <w:r>
        <w:t>OdA</w:t>
      </w:r>
      <w:proofErr w:type="spellEnd"/>
      <w:r>
        <w:t>, Kantone) ist das SBFI zuständig für die Qualitätssicherung und Weiterentwicklung des Berufsbildungssystems. Es sorgt für Vergleichbarkeit und Transparenz der Angebote im gesamtschweizerischen Rahmen.</w:t>
      </w:r>
    </w:p>
    <w:p>
      <w:pPr>
        <w:widowControl w:val="0"/>
        <w:autoSpaceDE w:val="0"/>
        <w:autoSpaceDN w:val="0"/>
        <w:adjustRightInd w:val="0"/>
        <w:spacing w:before="240" w:after="80"/>
        <w:ind w:right="-142"/>
        <w:rPr>
          <w:b/>
        </w:rPr>
      </w:pPr>
      <w:r>
        <w:rPr>
          <w:b/>
        </w:rPr>
        <w:t>Unterricht in den Berufskenntnissen</w:t>
      </w:r>
    </w:p>
    <w:p>
      <w:pPr>
        <w:widowControl w:val="0"/>
        <w:autoSpaceDE w:val="0"/>
        <w:autoSpaceDN w:val="0"/>
        <w:adjustRightInd w:val="0"/>
        <w:spacing w:after="0"/>
        <w:ind w:right="-142"/>
        <w:jc w:val="both"/>
      </w:pPr>
      <w:r>
        <w:t>Im Unterricht in den Berufskenntnissen der Berufsfachschule erwirbt die lernende Person berufsspezifische Qualifikationen. Die Ziele und Anforderungen sind im Bildungsplan festgehalten. Die Semesterzeugnisnoten für den Unterricht in den Berufskenntnissen fliessen als Erfahrungsnote in die Gesamtnote des Qualifikationsverfahrens ein.</w:t>
      </w:r>
    </w:p>
    <w:p>
      <w:pPr>
        <w:widowControl w:val="0"/>
        <w:autoSpaceDE w:val="0"/>
        <w:autoSpaceDN w:val="0"/>
        <w:adjustRightInd w:val="0"/>
        <w:spacing w:before="240" w:after="80"/>
        <w:ind w:right="-142"/>
        <w:rPr>
          <w:b/>
        </w:rPr>
      </w:pPr>
      <w:r>
        <w:rPr>
          <w:b/>
        </w:rPr>
        <w:t>Überbetriebliche Kurse (</w:t>
      </w:r>
      <w:proofErr w:type="spellStart"/>
      <w:r>
        <w:rPr>
          <w:b/>
        </w:rPr>
        <w:t>üK</w:t>
      </w:r>
      <w:proofErr w:type="spellEnd"/>
      <w:r>
        <w:rPr>
          <w:b/>
        </w:rPr>
        <w:t>)*</w:t>
      </w:r>
    </w:p>
    <w:p>
      <w:pPr>
        <w:widowControl w:val="0"/>
        <w:autoSpaceDE w:val="0"/>
        <w:autoSpaceDN w:val="0"/>
        <w:adjustRightInd w:val="0"/>
        <w:spacing w:after="0"/>
        <w:ind w:right="-142"/>
        <w:jc w:val="both"/>
      </w:pPr>
      <w:r>
        <w:t xml:space="preserve">In den </w:t>
      </w:r>
      <w:proofErr w:type="spellStart"/>
      <w:r>
        <w:t>üK</w:t>
      </w:r>
      <w:proofErr w:type="spellEnd"/>
      <w:r>
        <w:t xml:space="preserve"> wird ergänzend zur Bildung in Betrieb und Berufsfachschule der Erwerb grundlegender praktischer Fertigkeiten vermittelt.</w:t>
      </w:r>
    </w:p>
    <w:p>
      <w:pPr>
        <w:widowControl w:val="0"/>
        <w:autoSpaceDE w:val="0"/>
        <w:autoSpaceDN w:val="0"/>
        <w:adjustRightInd w:val="0"/>
        <w:spacing w:before="240" w:after="80"/>
        <w:ind w:right="-142"/>
        <w:rPr>
          <w:b/>
        </w:rPr>
      </w:pPr>
      <w:r>
        <w:rPr>
          <w:b/>
        </w:rPr>
        <w:t>Verbundpartnerschaft*</w:t>
      </w:r>
    </w:p>
    <w:p>
      <w:pPr>
        <w:widowControl w:val="0"/>
        <w:autoSpaceDE w:val="0"/>
        <w:autoSpaceDN w:val="0"/>
        <w:adjustRightInd w:val="0"/>
        <w:spacing w:after="0"/>
        <w:ind w:right="-142"/>
      </w:pPr>
      <w:r>
        <w:t xml:space="preserve">Berufsbildung ist eine gemeinsame Aufgabe von Bund, Kantonen und </w:t>
      </w:r>
      <w:proofErr w:type="spellStart"/>
      <w:r>
        <w:t>OdA</w:t>
      </w:r>
      <w:proofErr w:type="spellEnd"/>
      <w:r>
        <w:t>. Gemeinsam setzen sich die drei Partner für eine qualitativ hoch stehende Berufsbildung ein und streben ein ausreichendes Lehrstellenangebot an.</w:t>
      </w:r>
    </w:p>
    <w:p>
      <w:pPr>
        <w:widowControl w:val="0"/>
        <w:autoSpaceDE w:val="0"/>
        <w:autoSpaceDN w:val="0"/>
        <w:adjustRightInd w:val="0"/>
        <w:spacing w:before="240" w:after="80"/>
        <w:ind w:right="-142"/>
        <w:rPr>
          <w:b/>
        </w:rPr>
      </w:pPr>
      <w:r>
        <w:rPr>
          <w:b/>
        </w:rPr>
        <w:t xml:space="preserve">Verordnung des SBFI über die berufliche Grundbildung (Bildungsverordnung; </w:t>
      </w:r>
      <w:proofErr w:type="spellStart"/>
      <w:r>
        <w:rPr>
          <w:b/>
        </w:rPr>
        <w:t>BiVo</w:t>
      </w:r>
      <w:proofErr w:type="spellEnd"/>
      <w:r>
        <w:rPr>
          <w:b/>
        </w:rPr>
        <w:t>)</w:t>
      </w:r>
    </w:p>
    <w:p>
      <w:pPr>
        <w:widowControl w:val="0"/>
        <w:autoSpaceDE w:val="0"/>
        <w:autoSpaceDN w:val="0"/>
        <w:adjustRightInd w:val="0"/>
        <w:spacing w:after="0"/>
        <w:ind w:right="-142"/>
        <w:jc w:val="both"/>
      </w:pPr>
      <w:r>
        <w:t xml:space="preserve">Die </w:t>
      </w:r>
      <w:proofErr w:type="spellStart"/>
      <w:r>
        <w:t>BiVo</w:t>
      </w:r>
      <w:proofErr w:type="spellEnd"/>
      <w:r>
        <w:t xml:space="preserve"> eines Berufes regelt insbesondere Gegenstand und Dauer der beruflichen Grundbildung, die Ziele und Anforderungen der Bildung in beruflicher Praxis und der schulischen Bildung, den Umfang der Bildungsinhalte und die Anteile der Lernorte sowie die Qualifikationsverfahren, Ausweise und Titel. Die </w:t>
      </w:r>
      <w:proofErr w:type="spellStart"/>
      <w:r>
        <w:t>OdA</w:t>
      </w:r>
      <w:proofErr w:type="spellEnd"/>
      <w:r>
        <w:t xml:space="preserve"> stellt dem SBFI in der Regel Antrag auf Erlass einer </w:t>
      </w:r>
      <w:proofErr w:type="spellStart"/>
      <w:r>
        <w:t>BiVo</w:t>
      </w:r>
      <w:proofErr w:type="spellEnd"/>
      <w:r>
        <w:t xml:space="preserve"> und erarbeitet diese gemeinsam mit Bund und Kantonen. Das Inkrafttreten einer </w:t>
      </w:r>
      <w:proofErr w:type="spellStart"/>
      <w:r>
        <w:t>BiVo</w:t>
      </w:r>
      <w:proofErr w:type="spellEnd"/>
      <w:r>
        <w:t xml:space="preserve"> wird verbundpartnerschaftlich bestimmt, Erlassinstanz ist das SBFI. </w:t>
      </w:r>
    </w:p>
    <w:p>
      <w:pPr>
        <w:widowControl w:val="0"/>
        <w:autoSpaceDE w:val="0"/>
        <w:autoSpaceDN w:val="0"/>
        <w:adjustRightInd w:val="0"/>
        <w:spacing w:before="240" w:after="80"/>
        <w:ind w:right="-142"/>
        <w:rPr>
          <w:b/>
        </w:rPr>
      </w:pPr>
      <w:r>
        <w:rPr>
          <w:b/>
        </w:rPr>
        <w:t>Vorgegebene praktische Arbeit (VPA)*</w:t>
      </w:r>
    </w:p>
    <w:p>
      <w:pPr>
        <w:widowControl w:val="0"/>
        <w:autoSpaceDE w:val="0"/>
        <w:autoSpaceDN w:val="0"/>
        <w:adjustRightInd w:val="0"/>
        <w:spacing w:after="0"/>
        <w:ind w:right="-142"/>
      </w:pPr>
      <w:r>
        <w:t>Die vorgegebene praktische Arbeit ist die Alternative zur individuellen praktischen Arbeit. Sie wird während der ganzen Prüfungszeit von zwei Expert/innen beaufsichtigt. Es gelten für alle Lernenden die Prüfungspositionen und die Prüfungsdauer, die in der Bildungsverordnung festgelegt sind.</w:t>
      </w:r>
    </w:p>
    <w:p>
      <w:pPr>
        <w:widowControl w:val="0"/>
        <w:autoSpaceDE w:val="0"/>
        <w:autoSpaceDN w:val="0"/>
        <w:adjustRightInd w:val="0"/>
        <w:spacing w:before="240" w:after="80"/>
        <w:ind w:right="-142"/>
        <w:rPr>
          <w:b/>
        </w:rPr>
      </w:pPr>
      <w:r>
        <w:rPr>
          <w:b/>
        </w:rPr>
        <w:t>Ziele und Anforderungen der beruflichen Grundbildung</w:t>
      </w:r>
    </w:p>
    <w:p>
      <w:pPr>
        <w:widowControl w:val="0"/>
        <w:autoSpaceDE w:val="0"/>
        <w:autoSpaceDN w:val="0"/>
        <w:adjustRightInd w:val="0"/>
        <w:spacing w:after="0"/>
        <w:ind w:right="-142"/>
        <w:jc w:val="both"/>
      </w:pPr>
      <w:r>
        <w:t xml:space="preserve">Die Ziele und Anforderungen an die berufliche Grundbildung sind in der </w:t>
      </w:r>
      <w:proofErr w:type="spellStart"/>
      <w:r>
        <w:t>BiVo</w:t>
      </w:r>
      <w:proofErr w:type="spellEnd"/>
      <w:r>
        <w:t xml:space="preserve"> und im Bildungsplan festgehalten. Im Bildungsplan sind sie in Handlungskompetenzbereiche, Handlungskompetenzen und Leistungsziele für die drei Lernorte Betrieb, Berufsfachschule und </w:t>
      </w:r>
      <w:proofErr w:type="spellStart"/>
      <w:r>
        <w:t>üK</w:t>
      </w:r>
      <w:proofErr w:type="spellEnd"/>
      <w:r>
        <w:t xml:space="preserve"> gegliedert.</w:t>
      </w:r>
    </w:p>
    <w:p>
      <w:pPr>
        <w:pStyle w:val="berschrift1"/>
        <w:rPr>
          <w:rFonts w:cs="Arial"/>
          <w:b w:val="0"/>
          <w:sz w:val="20"/>
          <w:szCs w:val="20"/>
        </w:rPr>
      </w:pPr>
    </w:p>
    <w:p>
      <w:pPr>
        <w:spacing w:before="360"/>
        <w:sectPr>
          <w:headerReference w:type="first" r:id="rId25"/>
          <w:pgSz w:w="11907" w:h="16839" w:code="9"/>
          <w:pgMar w:top="1236" w:right="1134" w:bottom="1135" w:left="1701" w:header="680" w:footer="91" w:gutter="0"/>
          <w:cols w:space="708"/>
          <w:titlePg/>
          <w:docGrid w:linePitch="360"/>
        </w:sectPr>
      </w:pPr>
    </w:p>
    <w:p>
      <w:pPr>
        <w:pStyle w:val="berschrift1"/>
        <w:rPr>
          <w:color w:val="4F81BD"/>
        </w:rPr>
      </w:pPr>
      <w:bookmarkStart w:id="51" w:name="_Toc143691028"/>
      <w:r>
        <w:rPr>
          <w:color w:val="4F81BD"/>
        </w:rPr>
        <w:lastRenderedPageBreak/>
        <w:t xml:space="preserve">Hinweise und Erläuterungen zum Erstellen des Bildungsplans </w:t>
      </w:r>
      <w:r>
        <w:rPr>
          <w:b w:val="0"/>
          <w:color w:val="FF0000"/>
          <w:sz w:val="18"/>
          <w:szCs w:val="18"/>
        </w:rPr>
        <w:t>(bitte nach Erstellen des Bildungsplans löschen)</w:t>
      </w:r>
      <w:bookmarkEnd w:id="51"/>
    </w:p>
    <w:p>
      <w:pPr>
        <w:pStyle w:val="berschrift2"/>
        <w:numPr>
          <w:ilvl w:val="0"/>
          <w:numId w:val="46"/>
        </w:numPr>
        <w:ind w:left="709" w:hanging="709"/>
        <w:rPr>
          <w:color w:val="4F81BD"/>
        </w:rPr>
      </w:pPr>
      <w:bookmarkStart w:id="52" w:name="_Toc143691029"/>
      <w:r>
        <w:rPr>
          <w:color w:val="4F81BD"/>
        </w:rPr>
        <w:t>Hinweise für das Erstellen des Qualifikationsprofils</w:t>
      </w:r>
      <w:bookmarkEnd w:id="52"/>
      <w:r>
        <w:rPr>
          <w:color w:val="4F81BD"/>
        </w:rPr>
        <w:t xml:space="preserve"> </w:t>
      </w:r>
    </w:p>
    <w:tbl>
      <w:tblPr>
        <w:tblW w:w="14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CellMar>
          <w:top w:w="57" w:type="dxa"/>
          <w:left w:w="57" w:type="dxa"/>
          <w:bottom w:w="57" w:type="dxa"/>
          <w:right w:w="57" w:type="dxa"/>
        </w:tblCellMar>
        <w:tblLook w:val="04A0" w:firstRow="1" w:lastRow="0" w:firstColumn="1" w:lastColumn="0" w:noHBand="0" w:noVBand="1"/>
      </w:tblPr>
      <w:tblGrid>
        <w:gridCol w:w="14895"/>
      </w:tblGrid>
      <w:tr>
        <w:tc>
          <w:tcPr>
            <w:tcW w:w="14895" w:type="dxa"/>
            <w:shd w:val="clear" w:color="auto" w:fill="F2F2F2"/>
          </w:tcPr>
          <w:p>
            <w:pPr>
              <w:ind w:left="14" w:hanging="14"/>
              <w:rPr>
                <w:b/>
                <w:color w:val="4F81BD"/>
                <w:sz w:val="24"/>
              </w:rPr>
            </w:pPr>
            <w:r>
              <w:rPr>
                <w:b/>
                <w:color w:val="4F81BD"/>
                <w:sz w:val="24"/>
              </w:rPr>
              <w:t>Hinweise zum Berufsbild</w:t>
            </w:r>
          </w:p>
          <w:p>
            <w:pPr>
              <w:spacing w:after="80"/>
              <w:ind w:left="14" w:hanging="14"/>
              <w:rPr>
                <w:color w:val="4F81BD"/>
              </w:rPr>
            </w:pPr>
            <w:r>
              <w:rPr>
                <w:color w:val="4F81BD"/>
              </w:rPr>
              <w:t>Ein gutes Berufsbild ist für Laien verständlich und beschreibt die spezifischen Merkmale eines Berufes. Es beschreibt, was die Berufsleute in diesem Beruf machen und wo sie eingesetzt werden und welche Bedeutung der Beruf hat. Es stimmt inhaltlich mit dem Berufsbild der Bildungserlasse überein oder führt dieses weiter aus. Wir empfehlen einen Umfang von maximal zwei Seiten. Dabei werden folgende Punkte beschrieben:</w:t>
            </w:r>
          </w:p>
          <w:p>
            <w:pPr>
              <w:pStyle w:val="Listenabsatz"/>
              <w:numPr>
                <w:ilvl w:val="0"/>
                <w:numId w:val="45"/>
              </w:numPr>
              <w:spacing w:after="80"/>
              <w:contextualSpacing w:val="0"/>
              <w:rPr>
                <w:color w:val="4F81BD"/>
              </w:rPr>
            </w:pPr>
            <w:r>
              <w:rPr>
                <w:b/>
                <w:color w:val="4F81BD"/>
              </w:rPr>
              <w:t>Arbeitsgebiet</w:t>
            </w:r>
            <w:r>
              <w:rPr>
                <w:color w:val="4F81BD"/>
              </w:rPr>
              <w:t>: Wo arbeiten die Fachpersonen? Welche Kundinnen und Kunden sind relevant? Welches sind die typischen Ziele, Aufträge oder Produkte? Mit wem arbeiten die Fachpersonen zusammen?</w:t>
            </w:r>
          </w:p>
          <w:p>
            <w:pPr>
              <w:pStyle w:val="Listenabsatz"/>
              <w:numPr>
                <w:ilvl w:val="0"/>
                <w:numId w:val="45"/>
              </w:numPr>
              <w:spacing w:after="80"/>
              <w:contextualSpacing w:val="0"/>
              <w:rPr>
                <w:color w:val="4F81BD"/>
              </w:rPr>
            </w:pPr>
            <w:r>
              <w:rPr>
                <w:b/>
                <w:color w:val="4F81BD"/>
              </w:rPr>
              <w:t>Wichtigste Handlungskompetenzen</w:t>
            </w:r>
            <w:r>
              <w:rPr>
                <w:color w:val="4F81BD"/>
              </w:rPr>
              <w:t xml:space="preserve">: Welches sind die wichtigsten Handlungskompetenzen? Über welche Handlungskompetenzen muss eine Fachperson verfügen? Wie unterscheiden sich die verschiedenen Schwerpunkte oder Fachrichtungen? </w:t>
            </w:r>
          </w:p>
          <w:p>
            <w:pPr>
              <w:pStyle w:val="Listenabsatz"/>
              <w:numPr>
                <w:ilvl w:val="0"/>
                <w:numId w:val="45"/>
              </w:numPr>
              <w:spacing w:after="80"/>
              <w:contextualSpacing w:val="0"/>
              <w:rPr>
                <w:color w:val="4F81BD"/>
              </w:rPr>
            </w:pPr>
            <w:r>
              <w:rPr>
                <w:b/>
                <w:color w:val="4F81BD"/>
              </w:rPr>
              <w:t>Berufsausübung</w:t>
            </w:r>
            <w:r>
              <w:rPr>
                <w:color w:val="4F81BD"/>
              </w:rPr>
              <w:t xml:space="preserve">: Welches sind die Rahmenbedingungen für die Berufsausübung? Wie eigenständig oder selbstverantwortlich arbeiten die Fachpersonen? Wie viel Flexibilität, Kreativität, Innovationsfähigkeit ist gefordert? </w:t>
            </w:r>
          </w:p>
          <w:p>
            <w:pPr>
              <w:pStyle w:val="Listenabsatz"/>
              <w:numPr>
                <w:ilvl w:val="0"/>
                <w:numId w:val="45"/>
              </w:numPr>
              <w:spacing w:after="80"/>
              <w:contextualSpacing w:val="0"/>
              <w:rPr>
                <w:color w:val="4F81BD"/>
              </w:rPr>
            </w:pPr>
            <w:r>
              <w:rPr>
                <w:b/>
                <w:color w:val="4F81BD"/>
              </w:rPr>
              <w:t>Bedeutung des Berufes für Gesellschaft, Wirtschaft, Natur und Kultur</w:t>
            </w:r>
            <w:r>
              <w:rPr>
                <w:color w:val="4F81BD"/>
              </w:rPr>
              <w:t>: Welchen Beitrag zur nachhaltigen Entwicklung leisten die Fachpersonen in diesem Beruf? Welche Bedeutung hat der Beruf heute und in der Zukunft?</w:t>
            </w:r>
          </w:p>
          <w:p>
            <w:pPr>
              <w:pStyle w:val="Listenabsatz"/>
              <w:numPr>
                <w:ilvl w:val="0"/>
                <w:numId w:val="45"/>
              </w:numPr>
              <w:spacing w:after="80"/>
              <w:rPr>
                <w:color w:val="4F81BD"/>
              </w:rPr>
            </w:pPr>
            <w:r>
              <w:rPr>
                <w:b/>
                <w:color w:val="4F81BD"/>
              </w:rPr>
              <w:t>Allgemeinbildung</w:t>
            </w:r>
            <w:r>
              <w:rPr>
                <w:color w:val="4F81BD"/>
              </w:rPr>
              <w:t>: Die Allgemeinbildung vermittelt grundlegende Kompetenzen zur Orientierung im persönlichen Lebenskontext und in der Gesellschaft sowie zur Bewältigung von privaten und beruflichen Herausforderungen. In welchem Rahmen ist die Allgemeinbildung für den Beruf wichtig? Welche gesellschaftlichen und sprachlichen Herausforderungen werden durch die Fachpersonen bewältigt?</w:t>
            </w:r>
          </w:p>
        </w:tc>
      </w:tr>
    </w:tbl>
    <w:p>
      <w:pPr>
        <w:keepNext/>
        <w:numPr>
          <w:ilvl w:val="1"/>
          <w:numId w:val="0"/>
        </w:numPr>
        <w:tabs>
          <w:tab w:val="num" w:pos="964"/>
        </w:tabs>
        <w:suppressAutoHyphens/>
        <w:spacing w:before="240" w:after="180" w:line="260" w:lineRule="atLeast"/>
        <w:ind w:left="964" w:hanging="964"/>
        <w:outlineLvl w:val="1"/>
        <w:rPr>
          <w:rFonts w:eastAsia="Calibri"/>
          <w:color w:val="4F81BD"/>
          <w:szCs w:val="22"/>
          <w:lang w:eastAsia="en-US"/>
        </w:rPr>
        <w:sectPr>
          <w:headerReference w:type="first" r:id="rId26"/>
          <w:pgSz w:w="16839" w:h="11907" w:orient="landscape" w:code="9"/>
          <w:pgMar w:top="853" w:right="1236" w:bottom="1134" w:left="1134" w:header="680" w:footer="91" w:gutter="0"/>
          <w:cols w:space="708"/>
          <w:titlePg/>
          <w:docGrid w:linePitch="360"/>
        </w:sect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CellMar>
          <w:top w:w="57" w:type="dxa"/>
          <w:left w:w="57" w:type="dxa"/>
          <w:bottom w:w="57" w:type="dxa"/>
          <w:right w:w="57" w:type="dxa"/>
        </w:tblCellMar>
        <w:tblLook w:val="04A0" w:firstRow="1" w:lastRow="0" w:firstColumn="1" w:lastColumn="0" w:noHBand="0" w:noVBand="1"/>
      </w:tblPr>
      <w:tblGrid>
        <w:gridCol w:w="14879"/>
      </w:tblGrid>
      <w:tr>
        <w:tc>
          <w:tcPr>
            <w:tcW w:w="14879" w:type="dxa"/>
            <w:shd w:val="clear" w:color="auto" w:fill="F2F2F2"/>
          </w:tcPr>
          <w:p>
            <w:pPr>
              <w:rPr>
                <w:rFonts w:eastAsia="Calibri"/>
                <w:b/>
                <w:color w:val="4F81BD"/>
                <w:sz w:val="24"/>
                <w:szCs w:val="22"/>
                <w:lang w:eastAsia="en-US"/>
              </w:rPr>
            </w:pPr>
            <w:r>
              <w:rPr>
                <w:rFonts w:eastAsia="Calibri"/>
                <w:b/>
                <w:color w:val="4F81BD"/>
                <w:sz w:val="24"/>
                <w:szCs w:val="22"/>
                <w:lang w:eastAsia="en-US"/>
              </w:rPr>
              <w:lastRenderedPageBreak/>
              <w:t>Hinweise zur Tabelle „Übersicht der Handlungskompetenzen“</w:t>
            </w:r>
          </w:p>
          <w:p>
            <w:pPr>
              <w:spacing w:after="80"/>
              <w:rPr>
                <w:rFonts w:eastAsia="Calibri"/>
                <w:color w:val="4F81BD"/>
                <w:szCs w:val="22"/>
                <w:lang w:eastAsia="en-US"/>
              </w:rPr>
            </w:pPr>
            <w:r>
              <w:rPr>
                <w:rFonts w:eastAsia="Calibri"/>
                <w:color w:val="4F81BD"/>
                <w:szCs w:val="22"/>
                <w:lang w:eastAsia="en-US"/>
              </w:rPr>
              <w:t>In der Tabelle „Übersicht der Handlungskompetenzen“ sind die Handlungskompetenzen gruppiert nach Handlungskompetenzbereichen dargestellt. Diese Tabelle dient als Grundlage für die Ausarbeitung der Bildungsverordnung, des Bildungsplans und der Qualifikationsverfahren und trägt zur internationalen Vergleichbarkeit des Berufs bei.</w:t>
            </w:r>
          </w:p>
          <w:p>
            <w:pPr>
              <w:spacing w:after="0"/>
              <w:rPr>
                <w:rFonts w:eastAsia="Calibri"/>
                <w:b/>
                <w:color w:val="4F81BD"/>
                <w:szCs w:val="22"/>
                <w:lang w:eastAsia="en-US"/>
              </w:rPr>
            </w:pPr>
            <w:r>
              <w:rPr>
                <w:rFonts w:eastAsia="Calibri"/>
                <w:b/>
                <w:color w:val="4F81BD"/>
                <w:szCs w:val="22"/>
                <w:lang w:eastAsia="en-US"/>
              </w:rPr>
              <w:t>Handlungskompetenzbereiche</w:t>
            </w:r>
          </w:p>
          <w:p>
            <w:pPr>
              <w:spacing w:after="80"/>
              <w:rPr>
                <w:rFonts w:eastAsia="Calibri"/>
                <w:color w:val="4F81BD"/>
                <w:szCs w:val="22"/>
                <w:lang w:eastAsia="en-US"/>
              </w:rPr>
            </w:pPr>
            <w:r>
              <w:rPr>
                <w:rFonts w:eastAsia="Calibri"/>
                <w:color w:val="4F81BD"/>
                <w:szCs w:val="22"/>
                <w:lang w:eastAsia="en-US"/>
              </w:rPr>
              <w:t>Die Handlungskompetenzbereiche gruppieren ähnliche bzw. zusammengehörende Handlungskompetenzen. In der beruflichen Grundbildung dienen sie zusätzlich als Strukturierungseinheit der Ausbildung an den drei Lernorten und der Qualifikationsverfahren. Ein Handlungskompetenzbereich beginnt immer mit einem substantivierten Verb, zum Beispiel „</w:t>
            </w:r>
            <w:r>
              <w:rPr>
                <w:rFonts w:eastAsia="Calibri"/>
                <w:color w:val="4F81BD"/>
                <w:szCs w:val="22"/>
                <w:u w:val="single"/>
                <w:lang w:eastAsia="en-US"/>
              </w:rPr>
              <w:t>Reparieren</w:t>
            </w:r>
            <w:r>
              <w:rPr>
                <w:rFonts w:eastAsia="Calibri"/>
                <w:color w:val="4F81BD"/>
                <w:szCs w:val="22"/>
                <w:lang w:eastAsia="en-US"/>
              </w:rPr>
              <w:t xml:space="preserve"> von Fahrrädern“.</w:t>
            </w:r>
          </w:p>
          <w:p>
            <w:pPr>
              <w:spacing w:after="0"/>
              <w:rPr>
                <w:rFonts w:eastAsia="Calibri"/>
                <w:b/>
                <w:color w:val="4F81BD"/>
                <w:szCs w:val="22"/>
                <w:lang w:eastAsia="en-US"/>
              </w:rPr>
            </w:pPr>
            <w:r>
              <w:rPr>
                <w:rFonts w:eastAsia="Calibri"/>
                <w:b/>
                <w:color w:val="4F81BD"/>
                <w:szCs w:val="22"/>
                <w:lang w:eastAsia="en-US"/>
              </w:rPr>
              <w:t>Handlungskompetenzen</w:t>
            </w:r>
          </w:p>
          <w:p>
            <w:pPr>
              <w:spacing w:after="80"/>
              <w:rPr>
                <w:rFonts w:eastAsia="Calibri"/>
                <w:color w:val="4F81BD"/>
                <w:lang w:eastAsia="en-US"/>
              </w:rPr>
            </w:pPr>
            <w:r>
              <w:rPr>
                <w:rFonts w:eastAsia="Calibri"/>
                <w:color w:val="4F81BD"/>
                <w:lang w:eastAsia="en-US"/>
              </w:rPr>
              <w:t>Es existieren vielfältige Umschreibungen und Definitionen des Begriffs der beruflichen Handlungskompetenz. Den unterschiedlichen Definitionen ist gemeinsam, dass Handlungskompetenz in der Regel als ein ganzheitliches Handlungsrepertoire und als Disposition einer Person verstanden wird, in unterschiedlichen Situationen selbstorganisiert zu handeln. Für die berufliche Grundbildung kann folgende Definition verwendet werden:</w:t>
            </w:r>
          </w:p>
          <w:p>
            <w:pPr>
              <w:spacing w:after="80"/>
              <w:rPr>
                <w:rFonts w:eastAsia="Calibri"/>
                <w:b/>
                <w:i/>
                <w:color w:val="4F81BD"/>
                <w:lang w:eastAsia="en-US"/>
              </w:rPr>
            </w:pPr>
            <w:r>
              <w:rPr>
                <w:rFonts w:eastAsia="Calibri"/>
                <w:b/>
                <w:i/>
                <w:color w:val="4F81BD"/>
                <w:lang w:eastAsia="en-US"/>
              </w:rPr>
              <w:t>Handlungskompetent ist, wer berufliche Aufgaben und Tätigkeiten eigeninitiativ, zielorientiert, fachgerecht und flexibel ausführt.</w:t>
            </w:r>
          </w:p>
          <w:p>
            <w:pPr>
              <w:spacing w:after="160"/>
              <w:rPr>
                <w:rFonts w:eastAsia="Calibri"/>
                <w:color w:val="4F81BD"/>
                <w:lang w:eastAsia="en-US"/>
              </w:rPr>
            </w:pPr>
            <w:r>
              <w:rPr>
                <w:rFonts w:eastAsia="Calibri"/>
                <w:color w:val="4F81BD"/>
                <w:lang w:eastAsia="en-US"/>
              </w:rPr>
              <w:t>Die von ausgebildeten Berufsleuten erwarteten Handlungskompetenzen sind im Qualifikationsprofil einer beruflichen Grundbildung beschrieben. Die Handlungskompetenzen beschreiben das beobachtbare Verhalten, welches auf dem Arbeitsmarkt von Fachpersonen mit der entsprechenden Qualifikation erwartet wird. Sie sollen kurz und präzise formuliert sein. Eine Handlungskompetenz beinhaltet in der Regel die folgenden vier Elemente:</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7"/>
              <w:gridCol w:w="3677"/>
              <w:gridCol w:w="3677"/>
              <w:gridCol w:w="3678"/>
            </w:tblGrid>
            <w:tr>
              <w:tc>
                <w:tcPr>
                  <w:tcW w:w="3677" w:type="dxa"/>
                  <w:tcBorders>
                    <w:top w:val="single" w:sz="4" w:space="0" w:color="auto"/>
                    <w:left w:val="single" w:sz="4" w:space="0" w:color="auto"/>
                    <w:bottom w:val="nil"/>
                    <w:right w:val="single" w:sz="4" w:space="0" w:color="auto"/>
                  </w:tcBorders>
                  <w:shd w:val="clear" w:color="auto" w:fill="D9D9D9"/>
                  <w:hideMark/>
                </w:tcPr>
                <w:p>
                  <w:pPr>
                    <w:spacing w:after="0" w:line="260" w:lineRule="atLeast"/>
                    <w:rPr>
                      <w:rFonts w:eastAsia="Calibri"/>
                      <w:b/>
                      <w:color w:val="4F81BD"/>
                      <w:sz w:val="16"/>
                      <w:szCs w:val="22"/>
                      <w:lang w:eastAsia="en-US"/>
                    </w:rPr>
                  </w:pPr>
                  <w:r>
                    <w:rPr>
                      <w:rFonts w:eastAsia="Calibri"/>
                      <w:b/>
                      <w:color w:val="4F81BD"/>
                      <w:sz w:val="16"/>
                      <w:szCs w:val="22"/>
                      <w:lang w:eastAsia="en-US"/>
                    </w:rPr>
                    <w:t>Objekt</w:t>
                  </w:r>
                </w:p>
              </w:tc>
              <w:tc>
                <w:tcPr>
                  <w:tcW w:w="3677" w:type="dxa"/>
                  <w:tcBorders>
                    <w:top w:val="single" w:sz="4" w:space="0" w:color="auto"/>
                    <w:left w:val="single" w:sz="4" w:space="0" w:color="auto"/>
                    <w:bottom w:val="nil"/>
                    <w:right w:val="single" w:sz="4" w:space="0" w:color="auto"/>
                  </w:tcBorders>
                  <w:shd w:val="clear" w:color="auto" w:fill="D9D9D9"/>
                  <w:hideMark/>
                </w:tcPr>
                <w:p>
                  <w:pPr>
                    <w:spacing w:after="0" w:line="260" w:lineRule="atLeast"/>
                    <w:rPr>
                      <w:rFonts w:eastAsia="Calibri"/>
                      <w:b/>
                      <w:color w:val="4F81BD"/>
                      <w:sz w:val="16"/>
                      <w:szCs w:val="22"/>
                      <w:lang w:eastAsia="en-US"/>
                    </w:rPr>
                  </w:pPr>
                  <w:r>
                    <w:rPr>
                      <w:rFonts w:eastAsia="Calibri"/>
                      <w:b/>
                      <w:color w:val="4F81BD"/>
                      <w:sz w:val="16"/>
                      <w:szCs w:val="22"/>
                      <w:lang w:eastAsia="en-US"/>
                    </w:rPr>
                    <w:t>Kontext</w:t>
                  </w:r>
                </w:p>
              </w:tc>
              <w:tc>
                <w:tcPr>
                  <w:tcW w:w="3677" w:type="dxa"/>
                  <w:tcBorders>
                    <w:top w:val="single" w:sz="4" w:space="0" w:color="auto"/>
                    <w:left w:val="single" w:sz="4" w:space="0" w:color="auto"/>
                    <w:bottom w:val="nil"/>
                    <w:right w:val="single" w:sz="4" w:space="0" w:color="auto"/>
                  </w:tcBorders>
                  <w:shd w:val="clear" w:color="auto" w:fill="D9D9D9"/>
                  <w:hideMark/>
                </w:tcPr>
                <w:p>
                  <w:pPr>
                    <w:spacing w:after="0" w:line="260" w:lineRule="atLeast"/>
                    <w:rPr>
                      <w:rFonts w:eastAsia="Calibri"/>
                      <w:b/>
                      <w:color w:val="4F81BD"/>
                      <w:sz w:val="16"/>
                      <w:szCs w:val="22"/>
                      <w:lang w:eastAsia="en-US"/>
                    </w:rPr>
                  </w:pPr>
                  <w:r>
                    <w:rPr>
                      <w:rFonts w:eastAsia="Calibri"/>
                      <w:b/>
                      <w:color w:val="4F81BD"/>
                      <w:sz w:val="16"/>
                      <w:szCs w:val="22"/>
                      <w:lang w:eastAsia="en-US"/>
                    </w:rPr>
                    <w:t>Anforderung</w:t>
                  </w:r>
                </w:p>
              </w:tc>
              <w:tc>
                <w:tcPr>
                  <w:tcW w:w="3678" w:type="dxa"/>
                  <w:tcBorders>
                    <w:top w:val="single" w:sz="4" w:space="0" w:color="auto"/>
                    <w:left w:val="single" w:sz="4" w:space="0" w:color="auto"/>
                    <w:bottom w:val="nil"/>
                    <w:right w:val="single" w:sz="4" w:space="0" w:color="auto"/>
                  </w:tcBorders>
                  <w:shd w:val="clear" w:color="auto" w:fill="D9D9D9"/>
                  <w:hideMark/>
                </w:tcPr>
                <w:p>
                  <w:pPr>
                    <w:spacing w:after="0" w:line="260" w:lineRule="atLeast"/>
                    <w:rPr>
                      <w:rFonts w:eastAsia="Calibri"/>
                      <w:b/>
                      <w:color w:val="4F81BD"/>
                      <w:sz w:val="16"/>
                      <w:szCs w:val="22"/>
                      <w:lang w:eastAsia="en-US"/>
                    </w:rPr>
                  </w:pPr>
                  <w:r>
                    <w:rPr>
                      <w:rFonts w:eastAsia="Calibri"/>
                      <w:b/>
                      <w:color w:val="4F81BD"/>
                      <w:sz w:val="16"/>
                      <w:szCs w:val="22"/>
                      <w:lang w:eastAsia="en-US"/>
                    </w:rPr>
                    <w:t>Aktion</w:t>
                  </w:r>
                </w:p>
              </w:tc>
            </w:tr>
            <w:tr>
              <w:tc>
                <w:tcPr>
                  <w:tcW w:w="3677" w:type="dxa"/>
                  <w:tcBorders>
                    <w:top w:val="nil"/>
                    <w:left w:val="single" w:sz="4" w:space="0" w:color="auto"/>
                    <w:bottom w:val="single" w:sz="4" w:space="0" w:color="auto"/>
                    <w:right w:val="single" w:sz="4" w:space="0" w:color="auto"/>
                  </w:tcBorders>
                  <w:shd w:val="clear" w:color="auto" w:fill="D9D9D9"/>
                  <w:hideMark/>
                </w:tcPr>
                <w:p>
                  <w:pPr>
                    <w:spacing w:after="0" w:line="260" w:lineRule="atLeast"/>
                    <w:rPr>
                      <w:rFonts w:eastAsia="Calibri"/>
                      <w:color w:val="4F81BD"/>
                      <w:sz w:val="16"/>
                      <w:szCs w:val="22"/>
                      <w:lang w:eastAsia="en-US"/>
                    </w:rPr>
                  </w:pPr>
                  <w:r>
                    <w:rPr>
                      <w:rFonts w:eastAsia="Calibri"/>
                      <w:color w:val="4F81BD"/>
                      <w:sz w:val="16"/>
                      <w:szCs w:val="22"/>
                      <w:lang w:eastAsia="en-US"/>
                    </w:rPr>
                    <w:t>Den Gegenstand der Handlungskompetenz präzise und verständlich formulieren.</w:t>
                  </w:r>
                </w:p>
              </w:tc>
              <w:tc>
                <w:tcPr>
                  <w:tcW w:w="3677" w:type="dxa"/>
                  <w:tcBorders>
                    <w:top w:val="nil"/>
                    <w:left w:val="single" w:sz="4" w:space="0" w:color="auto"/>
                    <w:bottom w:val="single" w:sz="4" w:space="0" w:color="auto"/>
                    <w:right w:val="single" w:sz="4" w:space="0" w:color="auto"/>
                  </w:tcBorders>
                  <w:shd w:val="clear" w:color="auto" w:fill="D9D9D9"/>
                  <w:hideMark/>
                </w:tcPr>
                <w:p>
                  <w:pPr>
                    <w:spacing w:after="0" w:line="260" w:lineRule="atLeast"/>
                    <w:rPr>
                      <w:rFonts w:eastAsia="Calibri"/>
                      <w:color w:val="4F81BD"/>
                      <w:sz w:val="16"/>
                      <w:szCs w:val="22"/>
                      <w:lang w:eastAsia="en-US"/>
                    </w:rPr>
                  </w:pPr>
                  <w:r>
                    <w:rPr>
                      <w:rFonts w:eastAsia="Calibri"/>
                      <w:color w:val="4F81BD"/>
                      <w:sz w:val="16"/>
                      <w:szCs w:val="22"/>
                      <w:lang w:eastAsia="en-US"/>
                    </w:rPr>
                    <w:t>Durch den Bezug zum Berufsbild konkretisieren sich die Handlungskompetenzen und sind klar von allgemeinen Arbeiten abgrenzbar.</w:t>
                  </w:r>
                </w:p>
              </w:tc>
              <w:tc>
                <w:tcPr>
                  <w:tcW w:w="3677" w:type="dxa"/>
                  <w:tcBorders>
                    <w:top w:val="nil"/>
                    <w:left w:val="single" w:sz="4" w:space="0" w:color="auto"/>
                    <w:bottom w:val="single" w:sz="4" w:space="0" w:color="auto"/>
                    <w:right w:val="single" w:sz="4" w:space="0" w:color="auto"/>
                  </w:tcBorders>
                  <w:shd w:val="clear" w:color="auto" w:fill="D9D9D9"/>
                  <w:hideMark/>
                </w:tcPr>
                <w:p>
                  <w:pPr>
                    <w:spacing w:after="0" w:line="260" w:lineRule="atLeast"/>
                    <w:rPr>
                      <w:rFonts w:eastAsia="Calibri"/>
                      <w:color w:val="4F81BD"/>
                      <w:sz w:val="16"/>
                      <w:szCs w:val="22"/>
                      <w:lang w:eastAsia="en-US"/>
                    </w:rPr>
                  </w:pPr>
                  <w:r>
                    <w:rPr>
                      <w:rFonts w:eastAsia="Calibri"/>
                      <w:color w:val="4F81BD"/>
                      <w:sz w:val="16"/>
                      <w:szCs w:val="22"/>
                      <w:lang w:eastAsia="en-US"/>
                    </w:rPr>
                    <w:t>Handlungskompetenzen geben die Mindestanforderung wieder. Wenn diese nicht selbstständig ausgeführt werden oder höhere Anforderungen gefordert sind, muss dies sichtbar sein.</w:t>
                  </w:r>
                </w:p>
              </w:tc>
              <w:tc>
                <w:tcPr>
                  <w:tcW w:w="3678" w:type="dxa"/>
                  <w:tcBorders>
                    <w:top w:val="nil"/>
                    <w:left w:val="single" w:sz="4" w:space="0" w:color="auto"/>
                    <w:bottom w:val="single" w:sz="4" w:space="0" w:color="auto"/>
                    <w:right w:val="single" w:sz="4" w:space="0" w:color="auto"/>
                  </w:tcBorders>
                  <w:shd w:val="clear" w:color="auto" w:fill="D9D9D9"/>
                  <w:hideMark/>
                </w:tcPr>
                <w:p>
                  <w:pPr>
                    <w:spacing w:after="0" w:line="260" w:lineRule="atLeast"/>
                    <w:rPr>
                      <w:rFonts w:eastAsia="Calibri"/>
                      <w:color w:val="4F81BD"/>
                      <w:sz w:val="16"/>
                      <w:szCs w:val="22"/>
                      <w:lang w:eastAsia="en-US"/>
                    </w:rPr>
                  </w:pPr>
                  <w:r>
                    <w:rPr>
                      <w:rFonts w:eastAsia="Calibri"/>
                      <w:color w:val="4F81BD"/>
                      <w:sz w:val="16"/>
                      <w:szCs w:val="22"/>
                      <w:lang w:eastAsia="en-US"/>
                    </w:rPr>
                    <w:t>Die Verben beschreiben überprüfbare und beobachtbare Handlungen in den Arbeitssituationen. Dadurch wird die Bewertbarkeit der Handlungskompetenzen sichergestellt. Die Aktion wird immer am Ende des Satzes aufgeführt.</w:t>
                  </w:r>
                </w:p>
              </w:tc>
            </w:tr>
            <w:tr>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Schriften…</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in oder am Stein…</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nach Vorgaben…</w:t>
                  </w:r>
                </w:p>
              </w:tc>
              <w:tc>
                <w:tcPr>
                  <w:tcW w:w="367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ausführen.</w:t>
                  </w:r>
                </w:p>
              </w:tc>
            </w:tr>
            <w:tr>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Wertstoffe…</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auf dem Sammelplatz…</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gemäss Anweisung des Chauffeurs…</w:t>
                  </w:r>
                </w:p>
              </w:tc>
              <w:tc>
                <w:tcPr>
                  <w:tcW w:w="367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verladen.</w:t>
                  </w:r>
                </w:p>
              </w:tc>
            </w:tr>
            <w:tr>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Arbeitsplatz und Serverdienste…</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für den lokalen Netzbetrieb…</w:t>
                  </w:r>
                </w:p>
              </w:tc>
              <w:tc>
                <w:tcPr>
                  <w:tcW w:w="3677"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nach Vorgaben…</w:t>
                  </w:r>
                </w:p>
              </w:tc>
              <w:tc>
                <w:tcPr>
                  <w:tcW w:w="3678" w:type="dxa"/>
                  <w:tcBorders>
                    <w:top w:val="single" w:sz="4" w:space="0" w:color="auto"/>
                    <w:left w:val="single" w:sz="4" w:space="0" w:color="auto"/>
                    <w:bottom w:val="single" w:sz="4" w:space="0" w:color="auto"/>
                    <w:right w:val="single" w:sz="4" w:space="0" w:color="auto"/>
                  </w:tcBorders>
                  <w:shd w:val="clear" w:color="auto" w:fill="auto"/>
                  <w:hideMark/>
                </w:tcPr>
                <w:p>
                  <w:pPr>
                    <w:spacing w:after="0" w:line="260" w:lineRule="atLeast"/>
                    <w:rPr>
                      <w:rFonts w:eastAsia="Calibri"/>
                      <w:color w:val="4F81BD"/>
                      <w:sz w:val="16"/>
                      <w:szCs w:val="22"/>
                      <w:lang w:eastAsia="en-US"/>
                    </w:rPr>
                  </w:pPr>
                  <w:r>
                    <w:rPr>
                      <w:rFonts w:eastAsia="Calibri"/>
                      <w:color w:val="4F81BD"/>
                      <w:sz w:val="16"/>
                      <w:szCs w:val="22"/>
                      <w:lang w:eastAsia="en-US"/>
                    </w:rPr>
                    <w:t>… installieren.</w:t>
                  </w:r>
                </w:p>
              </w:tc>
            </w:tr>
            <w:tr>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Gleise und Weichen...</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(auf der Bahnstrecke)...</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im Team und gemäss Vorgaben...</w:t>
                  </w:r>
                </w:p>
              </w:tc>
              <w:tc>
                <w:tcPr>
                  <w:tcW w:w="3678"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unterhalten.</w:t>
                  </w:r>
                </w:p>
              </w:tc>
            </w:tr>
            <w:tr>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Design...</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für interaktive digitale Kommunikationsmittel...</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(selbstständig)...</w:t>
                  </w:r>
                </w:p>
              </w:tc>
              <w:tc>
                <w:tcPr>
                  <w:tcW w:w="3678"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spezifizieren und herstellen.</w:t>
                  </w:r>
                </w:p>
              </w:tc>
            </w:tr>
            <w:tr>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Klientinnen und Klienten...</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beim An- und Auskleiden...</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(selbstständig)...</w:t>
                  </w:r>
                </w:p>
              </w:tc>
              <w:tc>
                <w:tcPr>
                  <w:tcW w:w="3678"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unterstützen.</w:t>
                  </w:r>
                </w:p>
              </w:tc>
            </w:tr>
            <w:tr>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Werkstücke...</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mit konventionellen Drehmaschinen...</w:t>
                  </w:r>
                </w:p>
              </w:tc>
              <w:tc>
                <w:tcPr>
                  <w:tcW w:w="3677"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nach Vorgaben...</w:t>
                  </w:r>
                </w:p>
              </w:tc>
              <w:tc>
                <w:tcPr>
                  <w:tcW w:w="3678" w:type="dxa"/>
                  <w:tcBorders>
                    <w:top w:val="single" w:sz="4" w:space="0" w:color="auto"/>
                    <w:left w:val="single" w:sz="4" w:space="0" w:color="auto"/>
                    <w:bottom w:val="single" w:sz="4" w:space="0" w:color="auto"/>
                    <w:right w:val="single" w:sz="4" w:space="0" w:color="auto"/>
                  </w:tcBorders>
                  <w:shd w:val="clear" w:color="auto" w:fill="auto"/>
                </w:tcPr>
                <w:p>
                  <w:pPr>
                    <w:spacing w:after="0" w:line="260" w:lineRule="atLeast"/>
                    <w:rPr>
                      <w:rFonts w:eastAsia="Calibri"/>
                      <w:color w:val="4F81BD"/>
                      <w:sz w:val="16"/>
                      <w:szCs w:val="22"/>
                      <w:lang w:eastAsia="en-US"/>
                    </w:rPr>
                  </w:pPr>
                  <w:r>
                    <w:rPr>
                      <w:rFonts w:eastAsia="Calibri"/>
                      <w:color w:val="4F81BD"/>
                      <w:sz w:val="16"/>
                      <w:szCs w:val="22"/>
                      <w:lang w:eastAsia="en-US"/>
                    </w:rPr>
                    <w:t>... drehen.</w:t>
                  </w:r>
                </w:p>
              </w:tc>
            </w:tr>
          </w:tbl>
          <w:p>
            <w:pPr>
              <w:spacing w:before="160" w:after="80" w:line="260" w:lineRule="atLeast"/>
              <w:rPr>
                <w:rFonts w:eastAsia="Calibri"/>
                <w:b/>
                <w:i/>
                <w:color w:val="4F81BD"/>
                <w:szCs w:val="22"/>
                <w:lang w:eastAsia="en-US"/>
              </w:rPr>
            </w:pPr>
            <w:r>
              <w:rPr>
                <w:rFonts w:eastAsia="Calibri"/>
                <w:color w:val="4F81BD"/>
                <w:lang w:eastAsia="en-US"/>
              </w:rPr>
              <w:t>Die Elemente in den Klammern sind nicht zwingend notwendig, da sich der Kontext bereits aus dem Objekt ergibt oder bereits über die Definition der Handlungskompetenz die selbstständige Ausführung gegeben ist.</w:t>
            </w:r>
          </w:p>
        </w:tc>
      </w:tr>
    </w:tbl>
    <w:p>
      <w:pPr>
        <w:pStyle w:val="berschrift1"/>
        <w:spacing w:before="0"/>
        <w:rPr>
          <w:rFonts w:cs="Arial"/>
          <w:color w:val="4F81BD"/>
        </w:rPr>
        <w:sectPr>
          <w:pgSz w:w="16839" w:h="11907" w:orient="landscape" w:code="9"/>
          <w:pgMar w:top="1134" w:right="1236" w:bottom="1236" w:left="1134" w:header="680" w:footer="91" w:gutter="0"/>
          <w:cols w:space="708"/>
          <w:titlePg/>
          <w:docGrid w:linePitch="360"/>
        </w:sectPr>
      </w:pPr>
    </w:p>
    <w:p>
      <w:pPr>
        <w:pStyle w:val="berschrift2"/>
        <w:numPr>
          <w:ilvl w:val="0"/>
          <w:numId w:val="46"/>
        </w:numPr>
        <w:ind w:left="357" w:hanging="357"/>
        <w:rPr>
          <w:color w:val="4F81BD"/>
        </w:rPr>
      </w:pPr>
      <w:bookmarkStart w:id="53" w:name="_Toc143691030"/>
      <w:r>
        <w:rPr>
          <w:color w:val="4F81BD"/>
        </w:rPr>
        <w:lastRenderedPageBreak/>
        <w:t>Weitere Erläuterungen zu den Handlungskompetenzen</w:t>
      </w:r>
      <w:bookmarkEnd w:id="53"/>
    </w:p>
    <w:p>
      <w:pPr>
        <w:autoSpaceDE w:val="0"/>
        <w:autoSpaceDN w:val="0"/>
        <w:adjustRightInd w:val="0"/>
        <w:spacing w:before="240" w:after="80"/>
        <w:rPr>
          <w:rFonts w:cs="Arial"/>
          <w:bCs/>
          <w:color w:val="4F81BD"/>
        </w:rPr>
      </w:pPr>
      <w:r>
        <w:rPr>
          <w:rFonts w:cs="Arial"/>
          <w:bCs/>
          <w:color w:val="4F81BD"/>
        </w:rPr>
        <w:t>Die vier Dimensionen der Handlungskompetenzen lassen sich in einzelne berufsspezifische Elemente unterteilen. Dazu gehören:</w:t>
      </w:r>
    </w:p>
    <w:p>
      <w:pPr>
        <w:numPr>
          <w:ilvl w:val="0"/>
          <w:numId w:val="33"/>
        </w:numPr>
        <w:spacing w:before="240" w:after="0"/>
        <w:rPr>
          <w:b/>
          <w:color w:val="4F81BD"/>
          <w:sz w:val="22"/>
          <w:szCs w:val="22"/>
        </w:rPr>
      </w:pPr>
      <w:r>
        <w:rPr>
          <w:b/>
          <w:color w:val="4F81BD"/>
          <w:sz w:val="22"/>
          <w:szCs w:val="22"/>
        </w:rPr>
        <w:t>Fachkompetenzen (FK)</w:t>
      </w:r>
      <w:r>
        <w:rPr>
          <w:b/>
          <w:color w:val="4F81BD"/>
          <w:sz w:val="22"/>
          <w:szCs w:val="22"/>
        </w:rPr>
        <w:tab/>
      </w:r>
    </w:p>
    <w:p>
      <w:pPr>
        <w:spacing w:after="0"/>
        <w:rPr>
          <w:rFonts w:cs="Arial"/>
          <w:bCs/>
          <w:color w:val="4F81BD"/>
        </w:rPr>
      </w:pPr>
      <w:r>
        <w:rPr>
          <w:rFonts w:cs="Arial"/>
          <w:bCs/>
          <w:color w:val="4F81BD"/>
        </w:rPr>
        <w:t xml:space="preserve">Die Fachkompetenzen umfassen: </w:t>
      </w:r>
    </w:p>
    <w:p>
      <w:pPr>
        <w:pStyle w:val="Listenabsatz"/>
        <w:numPr>
          <w:ilvl w:val="0"/>
          <w:numId w:val="11"/>
        </w:numPr>
        <w:spacing w:after="0"/>
        <w:rPr>
          <w:rFonts w:cs="Arial"/>
          <w:bCs/>
          <w:color w:val="4F81BD"/>
        </w:rPr>
      </w:pPr>
      <w:r>
        <w:rPr>
          <w:rFonts w:cs="Arial"/>
          <w:bCs/>
          <w:color w:val="4F81BD"/>
        </w:rPr>
        <w:t>die Kenntnisse der berufsspezifischen Ausdrücke (Fachsprache), (</w:t>
      </w:r>
      <w:proofErr w:type="spellStart"/>
      <w:r>
        <w:rPr>
          <w:rFonts w:cs="Arial"/>
          <w:bCs/>
          <w:color w:val="4F81BD"/>
        </w:rPr>
        <w:t>Qualitäts</w:t>
      </w:r>
      <w:proofErr w:type="spellEnd"/>
      <w:r>
        <w:rPr>
          <w:rFonts w:cs="Arial"/>
          <w:bCs/>
          <w:color w:val="4F81BD"/>
        </w:rPr>
        <w:t xml:space="preserve">) </w:t>
      </w:r>
      <w:proofErr w:type="spellStart"/>
      <w:r>
        <w:rPr>
          <w:rFonts w:cs="Arial"/>
          <w:bCs/>
          <w:color w:val="4F81BD"/>
        </w:rPr>
        <w:t>Standarts</w:t>
      </w:r>
      <w:proofErr w:type="spellEnd"/>
      <w:r>
        <w:rPr>
          <w:rFonts w:cs="Arial"/>
          <w:bCs/>
          <w:color w:val="4F81BD"/>
        </w:rPr>
        <w:t xml:space="preserve">, Elemente und Systeme und deren Bedeutung für die beruflichen Arbeitssituationen; </w:t>
      </w:r>
    </w:p>
    <w:p>
      <w:pPr>
        <w:pStyle w:val="Listenabsatz"/>
        <w:numPr>
          <w:ilvl w:val="0"/>
          <w:numId w:val="11"/>
        </w:numPr>
        <w:spacing w:after="0"/>
        <w:rPr>
          <w:rFonts w:cs="Arial"/>
          <w:bCs/>
          <w:color w:val="4F81BD"/>
        </w:rPr>
      </w:pPr>
      <w:r>
        <w:rPr>
          <w:rFonts w:cs="Arial"/>
          <w:bCs/>
          <w:color w:val="4F81BD"/>
        </w:rPr>
        <w:t>die Kenntnisse der berufsspezifischen Methoden und Verfahren, Arbeitsmittel und Materialien und deren sachgemässe Verwendung;</w:t>
      </w:r>
    </w:p>
    <w:p>
      <w:pPr>
        <w:pStyle w:val="Listenabsatz"/>
        <w:numPr>
          <w:ilvl w:val="0"/>
          <w:numId w:val="11"/>
        </w:numPr>
        <w:spacing w:after="0"/>
        <w:rPr>
          <w:rFonts w:cs="Arial"/>
          <w:bCs/>
          <w:color w:val="4F81BD"/>
        </w:rPr>
      </w:pPr>
      <w:r>
        <w:rPr>
          <w:rFonts w:cs="Arial"/>
          <w:bCs/>
          <w:color w:val="4F81BD"/>
        </w:rPr>
        <w:t>Kenntnisse der Gefahren und Risiken und der daraus resultierenden Vorsichts- und Schutzmassnahmen und Vorkehrungen sowie das Bewusstsein der Verantwortung und Haftung.</w:t>
      </w:r>
    </w:p>
    <w:p>
      <w:pPr>
        <w:numPr>
          <w:ilvl w:val="0"/>
          <w:numId w:val="33"/>
        </w:numPr>
        <w:spacing w:before="240" w:after="0"/>
        <w:rPr>
          <w:b/>
          <w:color w:val="4F81BD"/>
          <w:sz w:val="22"/>
          <w:szCs w:val="22"/>
        </w:rPr>
      </w:pPr>
      <w:r>
        <w:rPr>
          <w:b/>
          <w:color w:val="4F81BD"/>
          <w:sz w:val="22"/>
          <w:szCs w:val="22"/>
        </w:rPr>
        <w:t>Methodenkompetenzen (MK)</w:t>
      </w:r>
    </w:p>
    <w:p>
      <w:pPr>
        <w:autoSpaceDE w:val="0"/>
        <w:autoSpaceDN w:val="0"/>
        <w:adjustRightInd w:val="0"/>
        <w:spacing w:after="0"/>
        <w:rPr>
          <w:rFonts w:cs="Arial"/>
          <w:b/>
          <w:bCs/>
          <w:color w:val="4F81BD"/>
        </w:rPr>
      </w:pPr>
      <w:r>
        <w:rPr>
          <w:rFonts w:cs="Arial"/>
          <w:b/>
          <w:bCs/>
          <w:color w:val="4F81BD"/>
        </w:rPr>
        <w:t>2.1 Arbeitstechniken</w:t>
      </w:r>
    </w:p>
    <w:p>
      <w:pPr>
        <w:autoSpaceDE w:val="0"/>
        <w:autoSpaceDN w:val="0"/>
        <w:adjustRightInd w:val="0"/>
        <w:rPr>
          <w:rFonts w:cs="Arial"/>
          <w:color w:val="4F81BD"/>
        </w:rPr>
      </w:pPr>
      <w:r>
        <w:rPr>
          <w:rFonts w:cs="Arial"/>
          <w:color w:val="4F81BD"/>
        </w:rPr>
        <w:t xml:space="preserve">Zur Lösung von beruflichen Aufgaben setzen </w:t>
      </w:r>
      <w:r>
        <w:rPr>
          <w:rFonts w:cs="Arial"/>
          <w:bCs/>
          <w:color w:val="4F81BD"/>
        </w:rPr>
        <w:t xml:space="preserve">[Berufsbezeichnung w/m] </w:t>
      </w:r>
      <w:r>
        <w:rPr>
          <w:rFonts w:cs="Arial"/>
          <w:color w:val="4F81BD"/>
        </w:rPr>
        <w:t>geeignete Methoden, Anlagen, technischen Einrichtungen und Hilfsmittel ein. Diese ermöglichen es ihnen, Ordnung zu halten, Prioritäten zu setzen, Abläufe systematisch und rationell zu gestalten, die Arbeitssicherheit zu gewährleisten und die Hygienevorschriften einzuhalten. Sie planen ihre Arbeitsschritte, arbeiten zielorientiert, effizient und bewerten ihre Arbeitsschritte systematisch.</w:t>
      </w:r>
    </w:p>
    <w:p>
      <w:pPr>
        <w:autoSpaceDE w:val="0"/>
        <w:autoSpaceDN w:val="0"/>
        <w:adjustRightInd w:val="0"/>
        <w:spacing w:after="0"/>
        <w:rPr>
          <w:rFonts w:cs="Arial"/>
          <w:b/>
          <w:bCs/>
          <w:color w:val="4F81BD"/>
        </w:rPr>
      </w:pPr>
      <w:r>
        <w:rPr>
          <w:rFonts w:cs="Arial"/>
          <w:b/>
          <w:bCs/>
          <w:color w:val="4F81BD"/>
        </w:rPr>
        <w:t>2.2 Prozessorientiertes, vernetztes Denken und Handeln</w:t>
      </w:r>
    </w:p>
    <w:p>
      <w:pPr>
        <w:autoSpaceDE w:val="0"/>
        <w:autoSpaceDN w:val="0"/>
        <w:adjustRightInd w:val="0"/>
        <w:rPr>
          <w:rFonts w:cs="Arial"/>
          <w:color w:val="4F81BD"/>
        </w:rPr>
      </w:pPr>
      <w:r>
        <w:rPr>
          <w:rFonts w:cs="Arial"/>
          <w:bCs/>
          <w:color w:val="4F81BD"/>
        </w:rPr>
        <w:t>[Berufsbezeichnung w/m]</w:t>
      </w:r>
      <w:r>
        <w:rPr>
          <w:rFonts w:cs="Arial"/>
          <w:color w:val="4F81BD"/>
        </w:rPr>
        <w:t xml:space="preserve"> sehen betriebliche Prozesse in ihren Zusammenhängen. Sie berücksichtigen vor- und nachgelagerte Arbeitsschritte und sind sich der Auswirkungen ihrer Arbeit auf die Produkte sowie auf Mitarbeitende und den Erfolg des Unternehmens bewusst.</w:t>
      </w:r>
    </w:p>
    <w:p>
      <w:pPr>
        <w:autoSpaceDE w:val="0"/>
        <w:autoSpaceDN w:val="0"/>
        <w:adjustRightInd w:val="0"/>
        <w:spacing w:after="0"/>
        <w:rPr>
          <w:rFonts w:cs="Arial"/>
          <w:b/>
          <w:bCs/>
          <w:color w:val="4F81BD"/>
        </w:rPr>
      </w:pPr>
      <w:r>
        <w:rPr>
          <w:rFonts w:cs="Arial"/>
          <w:b/>
          <w:bCs/>
          <w:color w:val="4F81BD"/>
        </w:rPr>
        <w:t>2.3 Informations- und Kommunikationsstrategien</w:t>
      </w:r>
    </w:p>
    <w:p>
      <w:pPr>
        <w:autoSpaceDE w:val="0"/>
        <w:autoSpaceDN w:val="0"/>
        <w:adjustRightInd w:val="0"/>
        <w:rPr>
          <w:rFonts w:cs="Arial"/>
          <w:color w:val="4F81BD"/>
        </w:rPr>
      </w:pPr>
      <w:r>
        <w:rPr>
          <w:rFonts w:cs="Arial"/>
          <w:color w:val="4F81BD"/>
        </w:rPr>
        <w:t xml:space="preserve">In </w:t>
      </w:r>
      <w:r>
        <w:rPr>
          <w:rFonts w:cs="Arial"/>
          <w:bCs/>
          <w:color w:val="4F81BD"/>
        </w:rPr>
        <w:t xml:space="preserve">[branchenspezifische Bezeichnung + geeignetes Verb] </w:t>
      </w:r>
      <w:r>
        <w:rPr>
          <w:rFonts w:cs="Arial"/>
          <w:color w:val="4F81BD"/>
        </w:rPr>
        <w:t xml:space="preserve">Betrieben ist der Einsatz von Informations- und Kommunikationsmitteln wichtig. </w:t>
      </w:r>
      <w:r>
        <w:rPr>
          <w:rFonts w:cs="Arial"/>
          <w:bCs/>
          <w:color w:val="4F81BD"/>
        </w:rPr>
        <w:t>[Berufsbezeichnung w/m]</w:t>
      </w:r>
      <w:r>
        <w:rPr>
          <w:rFonts w:cs="Arial"/>
          <w:color w:val="4F81BD"/>
        </w:rPr>
        <w:t xml:space="preserve"> sind sich dessen bewusst und helfen mit, den Informationsfluss im Unternehmen zu optimieren. Sie beschaffen sich selbstständig Informationen und nutzen diese im Interesse des Betriebes und des eigenen Lernens.</w:t>
      </w:r>
    </w:p>
    <w:p>
      <w:pPr>
        <w:autoSpaceDE w:val="0"/>
        <w:autoSpaceDN w:val="0"/>
        <w:adjustRightInd w:val="0"/>
        <w:spacing w:after="0"/>
        <w:rPr>
          <w:rFonts w:cs="Arial"/>
          <w:b/>
          <w:bCs/>
          <w:color w:val="4F81BD"/>
        </w:rPr>
      </w:pPr>
      <w:r>
        <w:rPr>
          <w:rFonts w:cs="Arial"/>
          <w:b/>
          <w:bCs/>
          <w:color w:val="4F81BD"/>
        </w:rPr>
        <w:t>2.4 Lernstrategien</w:t>
      </w:r>
    </w:p>
    <w:p>
      <w:pPr>
        <w:autoSpaceDE w:val="0"/>
        <w:autoSpaceDN w:val="0"/>
        <w:adjustRightInd w:val="0"/>
        <w:rPr>
          <w:rFonts w:cs="Arial"/>
          <w:color w:val="4F81BD"/>
        </w:rPr>
      </w:pPr>
      <w:r>
        <w:rPr>
          <w:rFonts w:cs="Arial"/>
          <w:color w:val="4F81BD"/>
        </w:rPr>
        <w:t xml:space="preserve">Zur Steigerung des Lernerfolgs stehen verschiedene Strategien zur Verfügung. </w:t>
      </w:r>
      <w:r>
        <w:rPr>
          <w:rFonts w:cs="Arial"/>
          <w:bCs/>
          <w:color w:val="4F81BD"/>
        </w:rPr>
        <w:t>[Berufsbezeichnung w/m]</w:t>
      </w:r>
      <w:r>
        <w:rPr>
          <w:rFonts w:cs="Arial"/>
          <w:color w:val="4F81BD"/>
        </w:rPr>
        <w:t xml:space="preserve"> reflektieren ihr Lernverhalten und passen es unterschiedlichen Aufgaben und Problemstellungen situativ an. Da Lernstile individuell verschieden sind, arbeiten sie mit effizienten Lernstrategien, welche ihnen beim Lernen Freude, Erfolg und Zufriedenheit bereiten und damit ihre Bereitschaft für das lebenslange und selbstständige Lernen stärken.</w:t>
      </w:r>
    </w:p>
    <w:p>
      <w:pPr>
        <w:autoSpaceDE w:val="0"/>
        <w:autoSpaceDN w:val="0"/>
        <w:adjustRightInd w:val="0"/>
        <w:spacing w:after="0"/>
        <w:rPr>
          <w:rFonts w:cs="Arial"/>
          <w:b/>
          <w:bCs/>
          <w:color w:val="4F81BD"/>
        </w:rPr>
      </w:pPr>
      <w:r>
        <w:rPr>
          <w:rFonts w:cs="Arial"/>
          <w:b/>
          <w:bCs/>
          <w:color w:val="4F81BD"/>
        </w:rPr>
        <w:t>2.5 Präsentationstechniken</w:t>
      </w:r>
    </w:p>
    <w:p>
      <w:pPr>
        <w:autoSpaceDE w:val="0"/>
        <w:autoSpaceDN w:val="0"/>
        <w:adjustRightInd w:val="0"/>
        <w:rPr>
          <w:rFonts w:cs="Arial"/>
          <w:color w:val="4F81BD"/>
        </w:rPr>
      </w:pPr>
      <w:r>
        <w:rPr>
          <w:rFonts w:cs="Arial"/>
          <w:color w:val="4F81BD"/>
        </w:rPr>
        <w:t xml:space="preserve">Der Erfolg eines Betriebes wird wesentlich mitbestimmt durch die Art und Weise, wie die Produkte und Dienstleistungen dem Kunden präsentiert werden. </w:t>
      </w:r>
      <w:r>
        <w:rPr>
          <w:rFonts w:cs="Arial"/>
          <w:bCs/>
          <w:color w:val="4F81BD"/>
        </w:rPr>
        <w:t>[Berufsbezeichnung w/m]</w:t>
      </w:r>
      <w:r>
        <w:rPr>
          <w:rFonts w:cs="Arial"/>
          <w:color w:val="4F81BD"/>
        </w:rPr>
        <w:t xml:space="preserve"> kennen und beherrschen Präsentationstechniken und -medien und setzen sie situationsgerecht ein.</w:t>
      </w:r>
    </w:p>
    <w:p>
      <w:pPr>
        <w:autoSpaceDE w:val="0"/>
        <w:autoSpaceDN w:val="0"/>
        <w:adjustRightInd w:val="0"/>
        <w:spacing w:after="0"/>
        <w:rPr>
          <w:rFonts w:cs="Arial"/>
          <w:b/>
          <w:bCs/>
          <w:color w:val="4F81BD"/>
        </w:rPr>
      </w:pPr>
      <w:r>
        <w:rPr>
          <w:rFonts w:cs="Arial"/>
          <w:b/>
          <w:bCs/>
          <w:color w:val="4F81BD"/>
        </w:rPr>
        <w:t>2.6 Ökologisches Handeln</w:t>
      </w:r>
    </w:p>
    <w:p>
      <w:pPr>
        <w:autoSpaceDE w:val="0"/>
        <w:autoSpaceDN w:val="0"/>
        <w:adjustRightInd w:val="0"/>
        <w:rPr>
          <w:rFonts w:cs="Arial"/>
          <w:bCs/>
          <w:color w:val="4F81BD"/>
        </w:rPr>
      </w:pPr>
      <w:r>
        <w:rPr>
          <w:rFonts w:cs="Arial"/>
          <w:bCs/>
          <w:color w:val="4F81BD"/>
        </w:rPr>
        <w:t>[Berufsbezeichnung w/m] sind sich der begrenzten Verfügbarkeit der natürlichen Ressourcen bewusst. Sie pflegen einen sparsamen Umgang mit Rohstoffen, Wasser und Energie und setzen Ressourcen schonende Technologien, Strategien und Arbeitstechniken ein.</w:t>
      </w:r>
    </w:p>
    <w:p>
      <w:pPr>
        <w:autoSpaceDE w:val="0"/>
        <w:autoSpaceDN w:val="0"/>
        <w:adjustRightInd w:val="0"/>
        <w:spacing w:after="0"/>
        <w:rPr>
          <w:rFonts w:cs="Arial"/>
          <w:b/>
          <w:bCs/>
          <w:color w:val="4F81BD"/>
        </w:rPr>
      </w:pPr>
      <w:r>
        <w:rPr>
          <w:rFonts w:cs="Arial"/>
          <w:b/>
          <w:bCs/>
          <w:color w:val="4F81BD"/>
        </w:rPr>
        <w:t>2.7 Wirtschaftliches Handeln</w:t>
      </w:r>
    </w:p>
    <w:p>
      <w:pPr>
        <w:autoSpaceDE w:val="0"/>
        <w:autoSpaceDN w:val="0"/>
        <w:adjustRightInd w:val="0"/>
        <w:rPr>
          <w:rFonts w:cs="Arial"/>
          <w:bCs/>
          <w:color w:val="4F81BD"/>
        </w:rPr>
      </w:pPr>
      <w:r>
        <w:rPr>
          <w:rFonts w:cs="Arial"/>
          <w:bCs/>
          <w:color w:val="4F81BD"/>
        </w:rPr>
        <w:t>Wirtschaftliches Handeln ist die Basis für den unternehmerischen Erfolg. [Berufsbezeichnung w/m] gehen kostenbewusst mit Rohstoffen und Materialien, Geräten, Anlagen und Einrichtungen um. Sie verrichten die ihnen gestellten Aufgaben effizient und sicher.</w:t>
      </w:r>
    </w:p>
    <w:p>
      <w:pPr>
        <w:numPr>
          <w:ilvl w:val="0"/>
          <w:numId w:val="33"/>
        </w:numPr>
        <w:spacing w:before="240" w:after="0"/>
        <w:rPr>
          <w:b/>
          <w:color w:val="4F81BD"/>
          <w:sz w:val="22"/>
          <w:szCs w:val="22"/>
        </w:rPr>
      </w:pPr>
      <w:r>
        <w:rPr>
          <w:b/>
          <w:color w:val="4F81BD"/>
        </w:rPr>
        <w:br w:type="page"/>
      </w:r>
      <w:r>
        <w:rPr>
          <w:b/>
          <w:color w:val="4F81BD"/>
          <w:sz w:val="22"/>
          <w:szCs w:val="22"/>
        </w:rPr>
        <w:lastRenderedPageBreak/>
        <w:t>Sozialkompetenzen (SK)</w:t>
      </w:r>
    </w:p>
    <w:p>
      <w:pPr>
        <w:autoSpaceDE w:val="0"/>
        <w:autoSpaceDN w:val="0"/>
        <w:adjustRightInd w:val="0"/>
        <w:spacing w:after="0"/>
        <w:rPr>
          <w:rFonts w:cs="Arial"/>
          <w:b/>
          <w:bCs/>
          <w:color w:val="4F81BD"/>
        </w:rPr>
      </w:pPr>
      <w:r>
        <w:rPr>
          <w:rFonts w:cs="Arial"/>
          <w:b/>
          <w:bCs/>
          <w:color w:val="4F81BD"/>
        </w:rPr>
        <w:t>3.1 Kommunikationsfähigkeit</w:t>
      </w:r>
    </w:p>
    <w:p>
      <w:pPr>
        <w:autoSpaceDE w:val="0"/>
        <w:autoSpaceDN w:val="0"/>
        <w:adjustRightInd w:val="0"/>
        <w:rPr>
          <w:rFonts w:cs="Arial"/>
          <w:color w:val="4F81BD"/>
        </w:rPr>
      </w:pPr>
      <w:r>
        <w:rPr>
          <w:rFonts w:cs="Arial"/>
          <w:color w:val="4F81BD"/>
        </w:rPr>
        <w:t xml:space="preserve">Sachliche Kommunikation ist für die kompetente Berufsausübung sehr wichtig. Darum sind </w:t>
      </w:r>
      <w:r>
        <w:rPr>
          <w:rFonts w:cs="Arial"/>
          <w:bCs/>
          <w:color w:val="4F81BD"/>
        </w:rPr>
        <w:t>[Berufsbezeichnung w/m] i</w:t>
      </w:r>
      <w:r>
        <w:rPr>
          <w:rFonts w:cs="Arial"/>
          <w:color w:val="4F81BD"/>
        </w:rPr>
        <w:t>n beruflichen Situationen kommunikativ und wenden die Grundregeln der Gesprächsführung an. Sie passen ihre Sprache und ihr Verhalten der jeweiligen Situation und den Bedürfnissen der Gesprächspartner an. Sie kommunizieren respektvoll und wertschätzend.</w:t>
      </w:r>
    </w:p>
    <w:p>
      <w:pPr>
        <w:autoSpaceDE w:val="0"/>
        <w:autoSpaceDN w:val="0"/>
        <w:adjustRightInd w:val="0"/>
        <w:spacing w:after="0"/>
        <w:rPr>
          <w:rFonts w:cs="Arial"/>
          <w:b/>
          <w:bCs/>
          <w:color w:val="4F81BD"/>
        </w:rPr>
      </w:pPr>
      <w:r>
        <w:rPr>
          <w:rFonts w:cs="Arial"/>
          <w:b/>
          <w:bCs/>
          <w:color w:val="4F81BD"/>
        </w:rPr>
        <w:t>3.2 Konfliktfähigkeit</w:t>
      </w:r>
    </w:p>
    <w:p>
      <w:pPr>
        <w:autoSpaceDE w:val="0"/>
        <w:autoSpaceDN w:val="0"/>
        <w:adjustRightInd w:val="0"/>
        <w:rPr>
          <w:rFonts w:cs="Arial"/>
          <w:color w:val="4F81BD"/>
        </w:rPr>
      </w:pPr>
      <w:r>
        <w:rPr>
          <w:rFonts w:cs="Arial"/>
          <w:color w:val="4F81BD"/>
        </w:rPr>
        <w:t xml:space="preserve">Im beruflichen Alltag des Betriebes, wo sich viele Menschen mit unterschiedlichen Auffassungen und Meinungen begegnen, kann es zu Konfliktsituationen kommen. </w:t>
      </w:r>
      <w:r>
        <w:rPr>
          <w:rFonts w:cs="Arial"/>
          <w:bCs/>
          <w:color w:val="4F81BD"/>
        </w:rPr>
        <w:t>[Berufsbezeichnung w/m]</w:t>
      </w:r>
      <w:r>
        <w:rPr>
          <w:rFonts w:cs="Arial"/>
          <w:color w:val="4F81BD"/>
        </w:rPr>
        <w:t xml:space="preserve"> sind sich dessen bewusst und reagieren ruhig und überlegt. Sie stellen sich der Auseinandersetzung, akzeptieren andere Standpunkte, diskutieren sachbezogen und suchen nach konstruktiven Lösungen.</w:t>
      </w:r>
    </w:p>
    <w:p>
      <w:pPr>
        <w:autoSpaceDE w:val="0"/>
        <w:autoSpaceDN w:val="0"/>
        <w:adjustRightInd w:val="0"/>
        <w:spacing w:after="0"/>
        <w:rPr>
          <w:rFonts w:cs="Arial"/>
          <w:b/>
          <w:bCs/>
          <w:color w:val="4F81BD"/>
        </w:rPr>
      </w:pPr>
      <w:r>
        <w:rPr>
          <w:rFonts w:cs="Arial"/>
          <w:b/>
          <w:bCs/>
          <w:color w:val="4F81BD"/>
        </w:rPr>
        <w:t>3.3 Teamfähigkeit</w:t>
      </w:r>
    </w:p>
    <w:p>
      <w:pPr>
        <w:autoSpaceDE w:val="0"/>
        <w:autoSpaceDN w:val="0"/>
        <w:adjustRightInd w:val="0"/>
        <w:rPr>
          <w:rFonts w:cs="Arial"/>
          <w:color w:val="4F81BD"/>
        </w:rPr>
      </w:pPr>
      <w:r>
        <w:rPr>
          <w:rFonts w:cs="Arial"/>
          <w:color w:val="4F81BD"/>
        </w:rPr>
        <w:t xml:space="preserve">Berufliche Arbeit wird durch Einzelne und durch Teams geleistet. Teams sind in vielen Situationen leistungsfähiger als Einzelpersonen. Arbeiten </w:t>
      </w:r>
      <w:r>
        <w:rPr>
          <w:rFonts w:cs="Arial"/>
          <w:bCs/>
          <w:color w:val="4F81BD"/>
        </w:rPr>
        <w:t>[Berufsbezeichnung w/m]</w:t>
      </w:r>
      <w:r>
        <w:rPr>
          <w:rFonts w:cs="Arial"/>
          <w:color w:val="4F81BD"/>
        </w:rPr>
        <w:t xml:space="preserve"> im Team, wenden sie Regeln für erfolgreiche Teamarbeit an.</w:t>
      </w:r>
    </w:p>
    <w:p>
      <w:pPr>
        <w:numPr>
          <w:ilvl w:val="0"/>
          <w:numId w:val="33"/>
        </w:numPr>
        <w:spacing w:before="240" w:after="0"/>
        <w:rPr>
          <w:b/>
          <w:color w:val="4F81BD"/>
          <w:sz w:val="22"/>
          <w:szCs w:val="22"/>
        </w:rPr>
      </w:pPr>
      <w:r>
        <w:rPr>
          <w:b/>
          <w:color w:val="4F81BD"/>
          <w:sz w:val="22"/>
          <w:szCs w:val="22"/>
        </w:rPr>
        <w:t>Selbstkompetenzen</w:t>
      </w:r>
    </w:p>
    <w:p>
      <w:pPr>
        <w:autoSpaceDE w:val="0"/>
        <w:autoSpaceDN w:val="0"/>
        <w:adjustRightInd w:val="0"/>
        <w:spacing w:after="0"/>
        <w:rPr>
          <w:rFonts w:cs="Arial"/>
          <w:b/>
          <w:bCs/>
          <w:color w:val="4F81BD"/>
        </w:rPr>
      </w:pPr>
      <w:r>
        <w:rPr>
          <w:rFonts w:cs="Arial"/>
          <w:b/>
          <w:bCs/>
          <w:color w:val="4F81BD"/>
        </w:rPr>
        <w:t>4.1 Reflexionsfähigkeit</w:t>
      </w:r>
    </w:p>
    <w:p>
      <w:pPr>
        <w:autoSpaceDE w:val="0"/>
        <w:autoSpaceDN w:val="0"/>
        <w:adjustRightInd w:val="0"/>
        <w:rPr>
          <w:rFonts w:cs="Arial"/>
          <w:color w:val="4F81BD"/>
        </w:rPr>
      </w:pPr>
      <w:r>
        <w:rPr>
          <w:rFonts w:cs="Arial"/>
          <w:bCs/>
          <w:color w:val="4F81BD"/>
        </w:rPr>
        <w:t xml:space="preserve">[Berufsbezeichnung w/m] können das eigene Handeln hinterfragen, persönliche Lebenserfahrungen reflektieren und die Erkenntnisse in den beruflichen Alltag einbringen. Sie sind fähig, eigene und fremde </w:t>
      </w:r>
      <w:r>
        <w:rPr>
          <w:rFonts w:cs="Arial"/>
          <w:color w:val="4F81BD"/>
        </w:rPr>
        <w:t>Erwartungen, Werte und Normen wahrzunehmen, zu unterscheiden und damit umzugehen (Toleranz).</w:t>
      </w:r>
    </w:p>
    <w:p>
      <w:pPr>
        <w:autoSpaceDE w:val="0"/>
        <w:autoSpaceDN w:val="0"/>
        <w:adjustRightInd w:val="0"/>
        <w:spacing w:after="0"/>
        <w:rPr>
          <w:rFonts w:cs="Arial"/>
          <w:b/>
          <w:bCs/>
          <w:color w:val="4F81BD"/>
        </w:rPr>
      </w:pPr>
      <w:r>
        <w:rPr>
          <w:rFonts w:cs="Arial"/>
          <w:b/>
          <w:bCs/>
          <w:color w:val="4F81BD"/>
        </w:rPr>
        <w:t>4.2 Eigenverantwortliches Handeln</w:t>
      </w:r>
    </w:p>
    <w:p>
      <w:pPr>
        <w:autoSpaceDE w:val="0"/>
        <w:autoSpaceDN w:val="0"/>
        <w:adjustRightInd w:val="0"/>
        <w:rPr>
          <w:rFonts w:cs="Arial"/>
          <w:color w:val="4F81BD"/>
        </w:rPr>
      </w:pPr>
      <w:r>
        <w:rPr>
          <w:rFonts w:cs="Arial"/>
          <w:color w:val="4F81BD"/>
        </w:rPr>
        <w:t xml:space="preserve">In ihrer beruflichen Tätigkeit sind die </w:t>
      </w:r>
      <w:r>
        <w:rPr>
          <w:rFonts w:cs="Arial"/>
          <w:bCs/>
          <w:color w:val="4F81BD"/>
        </w:rPr>
        <w:t xml:space="preserve">[Berufsbezeichnung w/m] </w:t>
      </w:r>
      <w:r>
        <w:rPr>
          <w:rFonts w:cs="Arial"/>
          <w:color w:val="4F81BD"/>
        </w:rPr>
        <w:t>mitverantwortlich für die Produktionsergebnisse und die betrieblichen Abläufe. Sie treffen in ihrem Verantwortungsbereich selbständig und gewissenhaft Entscheide und handeln entsprechend.</w:t>
      </w:r>
    </w:p>
    <w:p>
      <w:pPr>
        <w:autoSpaceDE w:val="0"/>
        <w:autoSpaceDN w:val="0"/>
        <w:adjustRightInd w:val="0"/>
        <w:spacing w:after="0"/>
        <w:rPr>
          <w:rFonts w:cs="Arial"/>
          <w:b/>
          <w:bCs/>
          <w:color w:val="4F81BD"/>
        </w:rPr>
      </w:pPr>
      <w:r>
        <w:rPr>
          <w:rFonts w:cs="Arial"/>
          <w:b/>
          <w:bCs/>
          <w:color w:val="4F81BD"/>
        </w:rPr>
        <w:t>4.3 Belastbarkeit</w:t>
      </w:r>
    </w:p>
    <w:p>
      <w:pPr>
        <w:autoSpaceDE w:val="0"/>
        <w:autoSpaceDN w:val="0"/>
        <w:adjustRightInd w:val="0"/>
        <w:rPr>
          <w:rFonts w:cs="Arial"/>
          <w:bCs/>
          <w:color w:val="4F81BD"/>
        </w:rPr>
      </w:pPr>
      <w:r>
        <w:rPr>
          <w:rFonts w:cs="Arial"/>
          <w:bCs/>
          <w:color w:val="4F81BD"/>
        </w:rPr>
        <w:t xml:space="preserve">[Berufsbezeichnung w/m] können den berufsspezifischen physischen und psychischen Belastungen standhalten, sie kennen die eigenen Grenzen und holen sich Unterstützung, um belastende Situationen zu bewältigen. </w:t>
      </w:r>
    </w:p>
    <w:p>
      <w:pPr>
        <w:autoSpaceDE w:val="0"/>
        <w:autoSpaceDN w:val="0"/>
        <w:adjustRightInd w:val="0"/>
        <w:spacing w:after="0"/>
        <w:rPr>
          <w:rFonts w:cs="Arial"/>
          <w:b/>
          <w:bCs/>
          <w:color w:val="4F81BD"/>
        </w:rPr>
      </w:pPr>
      <w:r>
        <w:rPr>
          <w:rFonts w:cs="Arial"/>
          <w:b/>
          <w:bCs/>
          <w:color w:val="4F81BD"/>
        </w:rPr>
        <w:t xml:space="preserve">4.4 Flexibilität </w:t>
      </w:r>
    </w:p>
    <w:p>
      <w:pPr>
        <w:autoSpaceDE w:val="0"/>
        <w:autoSpaceDN w:val="0"/>
        <w:adjustRightInd w:val="0"/>
        <w:rPr>
          <w:rFonts w:cs="Arial"/>
          <w:bCs/>
          <w:color w:val="4F81BD"/>
        </w:rPr>
      </w:pPr>
      <w:r>
        <w:rPr>
          <w:rFonts w:cs="Arial"/>
          <w:bCs/>
          <w:color w:val="4F81BD"/>
        </w:rPr>
        <w:t>[Berufsbezeichnung w/m] sind fähig, sich auf Veränderungen und unterschiedliche Situationen einzustellen und diese aktiv mitzugestalten.</w:t>
      </w:r>
    </w:p>
    <w:p>
      <w:pPr>
        <w:autoSpaceDE w:val="0"/>
        <w:autoSpaceDN w:val="0"/>
        <w:adjustRightInd w:val="0"/>
        <w:spacing w:after="0"/>
        <w:rPr>
          <w:rFonts w:cs="Arial"/>
          <w:b/>
          <w:bCs/>
          <w:color w:val="4F81BD"/>
        </w:rPr>
      </w:pPr>
      <w:r>
        <w:rPr>
          <w:rFonts w:cs="Arial"/>
          <w:b/>
          <w:bCs/>
          <w:color w:val="4F81BD"/>
        </w:rPr>
        <w:t>4.5 Leistungsbereitschaft und Arbeitshaltung</w:t>
      </w:r>
    </w:p>
    <w:p>
      <w:pPr>
        <w:autoSpaceDE w:val="0"/>
        <w:autoSpaceDN w:val="0"/>
        <w:adjustRightInd w:val="0"/>
        <w:rPr>
          <w:rFonts w:cs="Arial"/>
          <w:color w:val="4F81BD"/>
        </w:rPr>
      </w:pPr>
      <w:r>
        <w:rPr>
          <w:rFonts w:cs="Arial"/>
          <w:color w:val="4F81BD"/>
        </w:rPr>
        <w:t xml:space="preserve">Im Wettbewerb bestehen nur Betriebe mit motivierten, leistungsbereiten Angestellten. </w:t>
      </w:r>
      <w:r>
        <w:rPr>
          <w:rFonts w:cs="Arial"/>
          <w:bCs/>
          <w:color w:val="4F81BD"/>
        </w:rPr>
        <w:t>[Berufsbezeichnung w/m]</w:t>
      </w:r>
      <w:r>
        <w:rPr>
          <w:rFonts w:cs="Arial"/>
          <w:color w:val="4F81BD"/>
        </w:rPr>
        <w:t xml:space="preserve"> setzen sich für das Erreichen der betrieblichen Ziele ein. Sie entwickeln und festigen in Betrieb und Schule ihre Leistungsbereitschaft. Ihre Arbeitshaltung zeichnet sich durch Pünktlichkeit, Konzentration, Sorgfalt, Zuverlässigkeit und Genauigkeit aus.</w:t>
      </w:r>
    </w:p>
    <w:p>
      <w:pPr>
        <w:autoSpaceDE w:val="0"/>
        <w:autoSpaceDN w:val="0"/>
        <w:adjustRightInd w:val="0"/>
        <w:spacing w:after="0"/>
        <w:rPr>
          <w:rFonts w:cs="Arial"/>
          <w:b/>
          <w:bCs/>
          <w:color w:val="4F81BD"/>
        </w:rPr>
      </w:pPr>
      <w:r>
        <w:rPr>
          <w:rFonts w:cs="Arial"/>
          <w:b/>
          <w:bCs/>
          <w:color w:val="4F81BD"/>
        </w:rPr>
        <w:t>4.6 Lebenslanges Lernen</w:t>
      </w:r>
    </w:p>
    <w:p>
      <w:pPr>
        <w:autoSpaceDE w:val="0"/>
        <w:autoSpaceDN w:val="0"/>
        <w:adjustRightInd w:val="0"/>
        <w:rPr>
          <w:rFonts w:cs="Arial"/>
          <w:color w:val="4F81BD"/>
        </w:rPr>
      </w:pPr>
      <w:r>
        <w:rPr>
          <w:rFonts w:cs="Arial"/>
          <w:color w:val="4F81BD"/>
        </w:rPr>
        <w:t xml:space="preserve">Technologischer Wandel und wechselnde Kundenbedürfnisse erfordern laufend neue Kenntnisse und Fertigkeiten sowie die Bereitschaft, sich auf lebenslanges Lernen einzustellen. </w:t>
      </w:r>
      <w:r>
        <w:rPr>
          <w:rFonts w:cs="Arial"/>
          <w:bCs/>
          <w:color w:val="4F81BD"/>
        </w:rPr>
        <w:t>[Berufsbezeichnung w/m]</w:t>
      </w:r>
      <w:r>
        <w:rPr>
          <w:rFonts w:cs="Arial"/>
          <w:color w:val="4F81BD"/>
        </w:rPr>
        <w:t xml:space="preserve"> sind offen für Neuerungen, bilden sich lebenslang weiter und stärken damit ihre Arbeitsmarktfähigkeit und ihre Persönlichkeit</w:t>
      </w:r>
    </w:p>
    <w:sectPr>
      <w:headerReference w:type="default" r:id="rId27"/>
      <w:headerReference w:type="first" r:id="rId28"/>
      <w:pgSz w:w="11907" w:h="16839" w:code="9"/>
      <w:pgMar w:top="851" w:right="1236" w:bottom="1134" w:left="1134" w:header="680" w:footer="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4680"/>
      </w:tabs>
    </w:pPr>
    <w:r>
      <w:tab/>
    </w:r>
    <w:r>
      <w:fldChar w:fldCharType="begin"/>
    </w:r>
    <w:r>
      <w:instrText>PAGE   \* MERGEFORMAT</w:instrText>
    </w:r>
    <w:r>
      <w:fldChar w:fldCharType="separate"/>
    </w:r>
    <w:r>
      <w:rPr>
        <w:noProof/>
        <w:lang w:val="de-DE"/>
      </w:rPr>
      <w:t>14</w:t>
    </w:r>
    <w:r>
      <w:fldChar w:fldCharType="end"/>
    </w:r>
  </w:p>
  <w:p>
    <w:pPr>
      <w:pStyle w:val="Fuzeile"/>
      <w:tabs>
        <w:tab w:val="clea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4680"/>
      </w:tabs>
      <w:jc w:val="right"/>
    </w:pPr>
    <w:r>
      <w:fldChar w:fldCharType="begin"/>
    </w:r>
    <w:r>
      <w:instrText>PAGE   \* MERGEFORMAT</w:instrText>
    </w:r>
    <w:r>
      <w:fldChar w:fldCharType="separate"/>
    </w:r>
    <w:r>
      <w:rPr>
        <w:noProof/>
        <w:lang w:val="de-DE"/>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 w:id="1">
    <w:p>
      <w:pPr>
        <w:pStyle w:val="Funotentext"/>
        <w:rPr>
          <w:sz w:val="16"/>
          <w:szCs w:val="16"/>
        </w:rPr>
      </w:pPr>
      <w:r>
        <w:rPr>
          <w:rStyle w:val="Funotenzeichen"/>
        </w:rPr>
        <w:footnoteRef/>
      </w:r>
      <w:r>
        <w:t xml:space="preserve"> </w:t>
      </w:r>
      <w:r>
        <w:rPr>
          <w:sz w:val="16"/>
          <w:szCs w:val="16"/>
        </w:rPr>
        <w:t xml:space="preserve">vgl. Art. 12 Abs. 1 Bst. c Verordnung vom 19. November 2003 über die Berufsbildung (BBV) und Art. </w:t>
      </w:r>
      <w:r>
        <w:rPr>
          <w:color w:val="FF0000"/>
          <w:sz w:val="16"/>
          <w:szCs w:val="16"/>
        </w:rPr>
        <w:t>[Ziffer]</w:t>
      </w:r>
      <w:r>
        <w:rPr>
          <w:sz w:val="16"/>
          <w:szCs w:val="16"/>
        </w:rPr>
        <w:t xml:space="preserve"> der Verordnung des SBFI über die berufliche Grundbildung (Bildungsverordnung; BiVo) für </w:t>
      </w:r>
      <w:r>
        <w:rPr>
          <w:color w:val="FF0000"/>
          <w:sz w:val="16"/>
          <w:szCs w:val="16"/>
        </w:rPr>
        <w:t>[Titel w/Titel m].</w:t>
      </w:r>
    </w:p>
  </w:footnote>
  <w:footnote w:id="2">
    <w:p>
      <w:pPr>
        <w:pStyle w:val="Funotentext"/>
        <w:spacing w:after="0"/>
        <w:rPr>
          <w:sz w:val="16"/>
        </w:rPr>
      </w:pPr>
      <w:r>
        <w:rPr>
          <w:rStyle w:val="Funotenzeichen"/>
          <w:sz w:val="16"/>
        </w:rPr>
        <w:footnoteRef/>
      </w:r>
      <w:r>
        <w:rPr>
          <w:sz w:val="16"/>
        </w:rPr>
        <w:t xml:space="preserve"> Als Fachkraft gilt, wer im Fachbereich der lernenden Person über ein eidg. Fähigkeitszeugnis (eidg. Berufsattest, wenn in BiVo vorgesehen) oder über eine gleichwertige Qualifikation verfügt.</w:t>
      </w:r>
    </w:p>
  </w:footnote>
  <w:footnote w:id="3">
    <w:p>
      <w:pPr>
        <w:pStyle w:val="Funotentext"/>
        <w:spacing w:after="0"/>
      </w:pPr>
      <w:r>
        <w:rPr>
          <w:rStyle w:val="Funotenzeichen"/>
          <w:sz w:val="16"/>
        </w:rPr>
        <w:footnoteRef/>
      </w:r>
      <w:r>
        <w:rPr>
          <w:sz w:val="16"/>
        </w:rPr>
        <w:t xml:space="preserve"> Artikel der Verordnung des WBF über gefährliche Arbeiten für Jugendliche, SR 822.115.2, Stand: 12.01.2022</w:t>
      </w:r>
    </w:p>
  </w:footnote>
  <w:footnote w:id="4">
    <w:p>
      <w:pPr>
        <w:pStyle w:val="Funotentext"/>
      </w:pPr>
      <w:r>
        <w:rPr>
          <w:rStyle w:val="Funotenzeichen"/>
        </w:rPr>
        <w:footnoteRef/>
      </w:r>
      <w:r>
        <w:t xml:space="preserve"> </w:t>
      </w:r>
      <w:r>
        <w:rPr>
          <w:rFonts w:eastAsia="Century Gothic" w:cs="Arial"/>
          <w:sz w:val="16"/>
          <w:szCs w:val="16"/>
        </w:rPr>
        <w:t xml:space="preserve">SR </w:t>
      </w:r>
      <w:r>
        <w:rPr>
          <w:rFonts w:eastAsia="Century Gothic" w:cs="Arial"/>
          <w:b/>
          <w:sz w:val="16"/>
          <w:szCs w:val="16"/>
        </w:rPr>
        <w:t>412.10</w:t>
      </w:r>
    </w:p>
  </w:footnote>
  <w:footnote w:id="5">
    <w:p>
      <w:pPr>
        <w:pStyle w:val="Funotentext"/>
      </w:pPr>
      <w:r>
        <w:rPr>
          <w:rStyle w:val="Funotenzeichen"/>
        </w:rPr>
        <w:footnoteRef/>
      </w:r>
      <w:r>
        <w:t xml:space="preserve"> </w:t>
      </w:r>
      <w:r>
        <w:tab/>
        <w:t xml:space="preserve">SR </w:t>
      </w:r>
      <w:r>
        <w:rPr>
          <w:b/>
          <w:bCs/>
        </w:rPr>
        <w:t>412.101.241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color w:val="FF0000"/>
        <w:sz w:val="16"/>
        <w:szCs w:val="16"/>
      </w:rPr>
    </w:pPr>
    <w:r>
      <w:rPr>
        <w:sz w:val="16"/>
        <w:szCs w:val="16"/>
      </w:rPr>
      <w:t xml:space="preserve">Bildungsplan zur Verordnung über die berufliche Grundbildung für </w:t>
    </w:r>
    <w:r>
      <w:rPr>
        <w:color w:val="FF0000"/>
        <w:sz w:val="16"/>
        <w:szCs w:val="16"/>
      </w:rPr>
      <w:t>[Titel w / Titel m]</w:t>
    </w:r>
  </w:p>
  <w:p>
    <w:pPr>
      <w:pStyle w:val="Kopfzeile"/>
    </w:pPr>
    <w:r>
      <w:rPr>
        <w:sz w:val="16"/>
        <w:szCs w:val="16"/>
      </w:rPr>
      <w:t>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color w:val="FF0000"/>
        <w:sz w:val="16"/>
        <w:szCs w:val="16"/>
      </w:rPr>
    </w:pPr>
    <w:r>
      <w:rPr>
        <w:sz w:val="16"/>
        <w:szCs w:val="16"/>
      </w:rPr>
      <w:t xml:space="preserve">Bildungsplan zur Verordnung über die berufliche Grundbildung für </w:t>
    </w:r>
    <w:r>
      <w:rPr>
        <w:color w:val="FF0000"/>
        <w:sz w:val="16"/>
        <w:szCs w:val="16"/>
      </w:rPr>
      <w:t>[Titel w / Titel m]</w:t>
    </w:r>
  </w:p>
  <w:p>
    <w:pPr>
      <w:pStyle w:val="Kopfzeile"/>
    </w:pPr>
    <w:r>
      <w:rPr>
        <w:sz w:val="16"/>
        <w:szCs w:val="16"/>
      </w:rPr>
      <w:t>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color w:val="FF0000"/>
        <w:sz w:val="16"/>
        <w:szCs w:val="16"/>
      </w:rPr>
    </w:pPr>
    <w:r>
      <w:rPr>
        <w:sz w:val="16"/>
        <w:szCs w:val="16"/>
      </w:rPr>
      <w:t xml:space="preserve">Bildungsplan zur Verordnung über die berufliche Grundbildung für </w:t>
    </w:r>
    <w:r>
      <w:rPr>
        <w:color w:val="FF0000"/>
        <w:sz w:val="16"/>
        <w:szCs w:val="16"/>
      </w:rPr>
      <w:t>[Titel w / Titel m]</w:t>
    </w:r>
  </w:p>
  <w:p>
    <w:pPr>
      <w:pStyle w:val="Kopfzeile"/>
    </w:pPr>
    <w:r>
      <w:rPr>
        <w:sz w:val="16"/>
        <w:szCs w:val="16"/>
      </w:rPr>
      <w:t>___________________________________________________________________________________________________________________________________________________________________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color w:val="FF0000"/>
        <w:sz w:val="16"/>
        <w:szCs w:val="16"/>
      </w:rPr>
    </w:pPr>
    <w:r>
      <w:rPr>
        <w:sz w:val="16"/>
        <w:szCs w:val="16"/>
      </w:rPr>
      <w:t xml:space="preserve">Bildungsplan zur Verordnung über die berufliche Grundbildung für </w:t>
    </w:r>
    <w:r>
      <w:rPr>
        <w:color w:val="FF0000"/>
        <w:sz w:val="16"/>
        <w:szCs w:val="16"/>
      </w:rPr>
      <w:t>[Titel w / Titel m]</w:t>
    </w:r>
  </w:p>
  <w:p>
    <w:pPr>
      <w:pStyle w:val="Kopfzeile"/>
    </w:pPr>
    <w:r>
      <w:rPr>
        <w:sz w:val="16"/>
        <w:szCs w:val="16"/>
      </w:rPr>
      <w:t>_____________________________________________________________________________________________________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color w:val="FF0000"/>
        <w:sz w:val="16"/>
        <w:szCs w:val="16"/>
      </w:rPr>
    </w:pPr>
    <w:r>
      <w:rPr>
        <w:sz w:val="16"/>
        <w:szCs w:val="16"/>
      </w:rPr>
      <w:t xml:space="preserve">Bildungsplan zur Verordnung über die berufliche Grundbildung für </w:t>
    </w:r>
    <w:r>
      <w:rPr>
        <w:color w:val="FF0000"/>
        <w:sz w:val="16"/>
        <w:szCs w:val="16"/>
      </w:rPr>
      <w:t>[Titel w / Titel m]</w:t>
    </w:r>
  </w:p>
  <w:p>
    <w:pPr>
      <w:pStyle w:val="Kopfzeile"/>
    </w:pPr>
    <w:r>
      <w:rPr>
        <w:sz w:val="16"/>
        <w:szCs w:val="16"/>
      </w:rPr>
      <w:t>_____________________________________________________________________________________________________________________________________________________________________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color w:val="FF0000"/>
        <w:sz w:val="16"/>
        <w:szCs w:val="16"/>
      </w:rPr>
    </w:pPr>
    <w:r>
      <w:rPr>
        <w:sz w:val="16"/>
        <w:szCs w:val="16"/>
      </w:rPr>
      <w:t xml:space="preserve">Bildungsplan zur Verordnung über die berufliche Grundbildung für </w:t>
    </w:r>
    <w:r>
      <w:rPr>
        <w:color w:val="FF0000"/>
        <w:sz w:val="16"/>
        <w:szCs w:val="16"/>
      </w:rPr>
      <w:t>[Titel w / Titel m]</w:t>
    </w:r>
  </w:p>
  <w:p>
    <w:pPr>
      <w:pStyle w:val="Kopfzeile"/>
    </w:pPr>
    <w:r>
      <w:rPr>
        <w:sz w:val="16"/>
        <w:szCs w:val="16"/>
      </w:rPr>
      <w:t>_____________________________________________________________________________________________________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6E2"/>
    <w:multiLevelType w:val="hybridMultilevel"/>
    <w:tmpl w:val="1220CB8A"/>
    <w:lvl w:ilvl="0" w:tplc="2A26618E">
      <w:start w:val="1"/>
      <w:numFmt w:val="ordinal"/>
      <w:lvlText w:val="3.%1"/>
      <w:lvlJc w:val="left"/>
      <w:pPr>
        <w:ind w:left="144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5A0F88"/>
    <w:multiLevelType w:val="hybridMultilevel"/>
    <w:tmpl w:val="F266CAEE"/>
    <w:lvl w:ilvl="0" w:tplc="0B40F31C">
      <w:start w:val="1"/>
      <w:numFmt w:val="bullet"/>
      <w:pStyle w:val="ListeStrichII"/>
      <w:lvlText w:val="-"/>
      <w:lvlJc w:val="left"/>
      <w:pPr>
        <w:ind w:left="1060" w:hanging="360"/>
      </w:pPr>
      <w:rPr>
        <w:rFonts w:ascii="Arial Black" w:hAnsi="Arial Black" w:hint="default"/>
        <w:b/>
        <w:i w:val="0"/>
        <w:sz w:val="22"/>
      </w:rPr>
    </w:lvl>
    <w:lvl w:ilvl="1" w:tplc="08070003" w:tentative="1">
      <w:start w:val="1"/>
      <w:numFmt w:val="bullet"/>
      <w:lvlText w:val="o"/>
      <w:lvlJc w:val="left"/>
      <w:pPr>
        <w:ind w:left="1780" w:hanging="360"/>
      </w:pPr>
      <w:rPr>
        <w:rFonts w:ascii="Courier New" w:hAnsi="Courier New" w:cs="Courier New" w:hint="default"/>
      </w:rPr>
    </w:lvl>
    <w:lvl w:ilvl="2" w:tplc="08070005" w:tentative="1">
      <w:start w:val="1"/>
      <w:numFmt w:val="bullet"/>
      <w:lvlText w:val=""/>
      <w:lvlJc w:val="left"/>
      <w:pPr>
        <w:ind w:left="2500" w:hanging="360"/>
      </w:pPr>
      <w:rPr>
        <w:rFonts w:ascii="Wingdings" w:hAnsi="Wingdings" w:hint="default"/>
      </w:rPr>
    </w:lvl>
    <w:lvl w:ilvl="3" w:tplc="08070001" w:tentative="1">
      <w:start w:val="1"/>
      <w:numFmt w:val="bullet"/>
      <w:lvlText w:val=""/>
      <w:lvlJc w:val="left"/>
      <w:pPr>
        <w:ind w:left="3220" w:hanging="360"/>
      </w:pPr>
      <w:rPr>
        <w:rFonts w:ascii="Symbol" w:hAnsi="Symbol" w:hint="default"/>
      </w:rPr>
    </w:lvl>
    <w:lvl w:ilvl="4" w:tplc="08070003" w:tentative="1">
      <w:start w:val="1"/>
      <w:numFmt w:val="bullet"/>
      <w:lvlText w:val="o"/>
      <w:lvlJc w:val="left"/>
      <w:pPr>
        <w:ind w:left="3940" w:hanging="360"/>
      </w:pPr>
      <w:rPr>
        <w:rFonts w:ascii="Courier New" w:hAnsi="Courier New" w:cs="Courier New" w:hint="default"/>
      </w:rPr>
    </w:lvl>
    <w:lvl w:ilvl="5" w:tplc="08070005" w:tentative="1">
      <w:start w:val="1"/>
      <w:numFmt w:val="bullet"/>
      <w:lvlText w:val=""/>
      <w:lvlJc w:val="left"/>
      <w:pPr>
        <w:ind w:left="4660" w:hanging="360"/>
      </w:pPr>
      <w:rPr>
        <w:rFonts w:ascii="Wingdings" w:hAnsi="Wingdings" w:hint="default"/>
      </w:rPr>
    </w:lvl>
    <w:lvl w:ilvl="6" w:tplc="08070001" w:tentative="1">
      <w:start w:val="1"/>
      <w:numFmt w:val="bullet"/>
      <w:lvlText w:val=""/>
      <w:lvlJc w:val="left"/>
      <w:pPr>
        <w:ind w:left="5380" w:hanging="360"/>
      </w:pPr>
      <w:rPr>
        <w:rFonts w:ascii="Symbol" w:hAnsi="Symbol" w:hint="default"/>
      </w:rPr>
    </w:lvl>
    <w:lvl w:ilvl="7" w:tplc="08070003" w:tentative="1">
      <w:start w:val="1"/>
      <w:numFmt w:val="bullet"/>
      <w:lvlText w:val="o"/>
      <w:lvlJc w:val="left"/>
      <w:pPr>
        <w:ind w:left="6100" w:hanging="360"/>
      </w:pPr>
      <w:rPr>
        <w:rFonts w:ascii="Courier New" w:hAnsi="Courier New" w:cs="Courier New" w:hint="default"/>
      </w:rPr>
    </w:lvl>
    <w:lvl w:ilvl="8" w:tplc="08070005" w:tentative="1">
      <w:start w:val="1"/>
      <w:numFmt w:val="bullet"/>
      <w:lvlText w:val=""/>
      <w:lvlJc w:val="left"/>
      <w:pPr>
        <w:ind w:left="6820" w:hanging="360"/>
      </w:pPr>
      <w:rPr>
        <w:rFonts w:ascii="Wingdings" w:hAnsi="Wingdings" w:hint="default"/>
      </w:rPr>
    </w:lvl>
  </w:abstractNum>
  <w:abstractNum w:abstractNumId="2" w15:restartNumberingAfterBreak="0">
    <w:nsid w:val="0A8F32F1"/>
    <w:multiLevelType w:val="hybridMultilevel"/>
    <w:tmpl w:val="EA0C7480"/>
    <w:lvl w:ilvl="0" w:tplc="2A26618E">
      <w:start w:val="1"/>
      <w:numFmt w:val="ordinal"/>
      <w:lvlText w:val="3.%1"/>
      <w:lvlJc w:val="left"/>
      <w:pPr>
        <w:ind w:left="1440" w:hanging="360"/>
      </w:pPr>
      <w:rPr>
        <w:rFonts w:hint="default"/>
      </w:rPr>
    </w:lvl>
    <w:lvl w:ilvl="1" w:tplc="2A26618E">
      <w:start w:val="1"/>
      <w:numFmt w:val="ordinal"/>
      <w:lvlText w:val="3.%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ACA1B06"/>
    <w:multiLevelType w:val="hybridMultilevel"/>
    <w:tmpl w:val="FA88F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D4F3FE7"/>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F0319A2"/>
    <w:multiLevelType w:val="hybridMultilevel"/>
    <w:tmpl w:val="3042D6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F2F2A94"/>
    <w:multiLevelType w:val="hybridMultilevel"/>
    <w:tmpl w:val="D414AF82"/>
    <w:lvl w:ilvl="0" w:tplc="92DC6F42">
      <w:start w:val="1"/>
      <w:numFmt w:val="bullet"/>
      <w:pStyle w:val="ListeStrichI"/>
      <w:lvlText w:val="-"/>
      <w:lvlJc w:val="left"/>
      <w:pPr>
        <w:ind w:left="720" w:hanging="360"/>
      </w:pPr>
      <w:rPr>
        <w:rFonts w:ascii="Arial Black" w:hAnsi="Arial Black" w:hint="default"/>
        <w:b/>
        <w:i w:val="0"/>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3A30BB0"/>
    <w:multiLevelType w:val="hybridMultilevel"/>
    <w:tmpl w:val="8E0ABC3E"/>
    <w:lvl w:ilvl="0" w:tplc="B76AD91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9016A0B"/>
    <w:multiLevelType w:val="hybridMultilevel"/>
    <w:tmpl w:val="123E2DD0"/>
    <w:lvl w:ilvl="0" w:tplc="E0022DA4">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AB832FE"/>
    <w:multiLevelType w:val="hybridMultilevel"/>
    <w:tmpl w:val="D9E6F8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E642732"/>
    <w:multiLevelType w:val="hybridMultilevel"/>
    <w:tmpl w:val="E30E30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991B01"/>
    <w:multiLevelType w:val="hybridMultilevel"/>
    <w:tmpl w:val="7422CE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B1467B0"/>
    <w:multiLevelType w:val="hybridMultilevel"/>
    <w:tmpl w:val="3E0E24D6"/>
    <w:lvl w:ilvl="0" w:tplc="0807000F">
      <w:start w:val="1"/>
      <w:numFmt w:val="decimal"/>
      <w:lvlText w:val="%1."/>
      <w:lvlJc w:val="left"/>
      <w:pPr>
        <w:ind w:left="360" w:hanging="360"/>
      </w:pPr>
      <w:rPr>
        <w:rFonts w:hint="default"/>
      </w:rPr>
    </w:lvl>
    <w:lvl w:ilvl="1" w:tplc="4B4C0EC0">
      <w:start w:val="1"/>
      <w:numFmt w:val="decimal"/>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2B1C172A"/>
    <w:multiLevelType w:val="hybridMultilevel"/>
    <w:tmpl w:val="9E36F6E2"/>
    <w:lvl w:ilvl="0" w:tplc="0807000F">
      <w:start w:val="1"/>
      <w:numFmt w:val="decimal"/>
      <w:lvlText w:val="%1."/>
      <w:lvlJc w:val="left"/>
      <w:pPr>
        <w:ind w:left="360" w:hanging="360"/>
      </w:pPr>
      <w:rPr>
        <w:rFonts w:hint="default"/>
      </w:rPr>
    </w:lvl>
    <w:lvl w:ilvl="1" w:tplc="0807000F">
      <w:start w:val="1"/>
      <w:numFmt w:val="decimal"/>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2E1C127F"/>
    <w:multiLevelType w:val="hybridMultilevel"/>
    <w:tmpl w:val="D35ABA76"/>
    <w:lvl w:ilvl="0" w:tplc="0807000F">
      <w:start w:val="1"/>
      <w:numFmt w:val="decimal"/>
      <w:lvlText w:val="%1."/>
      <w:lvlJc w:val="left"/>
      <w:pPr>
        <w:tabs>
          <w:tab w:val="num" w:pos="1069"/>
        </w:tabs>
        <w:ind w:left="1069" w:hanging="360"/>
      </w:pPr>
      <w:rPr>
        <w:rFonts w:hint="default"/>
      </w:rPr>
    </w:lvl>
    <w:lvl w:ilvl="1" w:tplc="04070003">
      <w:start w:val="1"/>
      <w:numFmt w:val="bullet"/>
      <w:lvlText w:val="o"/>
      <w:lvlJc w:val="left"/>
      <w:pPr>
        <w:tabs>
          <w:tab w:val="num" w:pos="-3251"/>
        </w:tabs>
        <w:ind w:left="-3251" w:hanging="360"/>
      </w:pPr>
      <w:rPr>
        <w:rFonts w:ascii="Courier New" w:hAnsi="Courier New" w:cs="Wingdings" w:hint="default"/>
      </w:rPr>
    </w:lvl>
    <w:lvl w:ilvl="2" w:tplc="04070005">
      <w:start w:val="1"/>
      <w:numFmt w:val="bullet"/>
      <w:lvlText w:val=""/>
      <w:lvlJc w:val="left"/>
      <w:pPr>
        <w:tabs>
          <w:tab w:val="num" w:pos="-2531"/>
        </w:tabs>
        <w:ind w:left="-2531" w:hanging="360"/>
      </w:pPr>
      <w:rPr>
        <w:rFonts w:ascii="Wingdings" w:hAnsi="Wingdings" w:hint="default"/>
      </w:rPr>
    </w:lvl>
    <w:lvl w:ilvl="3" w:tplc="04070001">
      <w:start w:val="1"/>
      <w:numFmt w:val="bullet"/>
      <w:lvlText w:val=""/>
      <w:lvlJc w:val="left"/>
      <w:pPr>
        <w:tabs>
          <w:tab w:val="num" w:pos="-1811"/>
        </w:tabs>
        <w:ind w:left="-1811" w:hanging="360"/>
      </w:pPr>
      <w:rPr>
        <w:rFonts w:ascii="Symbol" w:hAnsi="Symbol" w:hint="default"/>
      </w:rPr>
    </w:lvl>
    <w:lvl w:ilvl="4" w:tplc="04070003" w:tentative="1">
      <w:start w:val="1"/>
      <w:numFmt w:val="bullet"/>
      <w:lvlText w:val="o"/>
      <w:lvlJc w:val="left"/>
      <w:pPr>
        <w:tabs>
          <w:tab w:val="num" w:pos="-1091"/>
        </w:tabs>
        <w:ind w:left="-1091" w:hanging="360"/>
      </w:pPr>
      <w:rPr>
        <w:rFonts w:ascii="Courier New" w:hAnsi="Courier New" w:cs="Wingdings" w:hint="default"/>
      </w:rPr>
    </w:lvl>
    <w:lvl w:ilvl="5" w:tplc="04070005" w:tentative="1">
      <w:start w:val="1"/>
      <w:numFmt w:val="bullet"/>
      <w:lvlText w:val=""/>
      <w:lvlJc w:val="left"/>
      <w:pPr>
        <w:tabs>
          <w:tab w:val="num" w:pos="-371"/>
        </w:tabs>
        <w:ind w:left="-371" w:hanging="360"/>
      </w:pPr>
      <w:rPr>
        <w:rFonts w:ascii="Wingdings" w:hAnsi="Wingdings" w:hint="default"/>
      </w:rPr>
    </w:lvl>
    <w:lvl w:ilvl="6" w:tplc="04070001" w:tentative="1">
      <w:start w:val="1"/>
      <w:numFmt w:val="bullet"/>
      <w:lvlText w:val=""/>
      <w:lvlJc w:val="left"/>
      <w:pPr>
        <w:tabs>
          <w:tab w:val="num" w:pos="349"/>
        </w:tabs>
        <w:ind w:left="349" w:hanging="360"/>
      </w:pPr>
      <w:rPr>
        <w:rFonts w:ascii="Symbol" w:hAnsi="Symbol" w:hint="default"/>
      </w:rPr>
    </w:lvl>
    <w:lvl w:ilvl="7" w:tplc="04070003" w:tentative="1">
      <w:start w:val="1"/>
      <w:numFmt w:val="bullet"/>
      <w:lvlText w:val="o"/>
      <w:lvlJc w:val="left"/>
      <w:pPr>
        <w:tabs>
          <w:tab w:val="num" w:pos="1069"/>
        </w:tabs>
        <w:ind w:left="1069" w:hanging="360"/>
      </w:pPr>
      <w:rPr>
        <w:rFonts w:ascii="Courier New" w:hAnsi="Courier New" w:cs="Wingdings" w:hint="default"/>
      </w:rPr>
    </w:lvl>
    <w:lvl w:ilvl="8" w:tplc="04070005" w:tentative="1">
      <w:start w:val="1"/>
      <w:numFmt w:val="bullet"/>
      <w:lvlText w:val=""/>
      <w:lvlJc w:val="left"/>
      <w:pPr>
        <w:tabs>
          <w:tab w:val="num" w:pos="1789"/>
        </w:tabs>
        <w:ind w:left="1789" w:hanging="360"/>
      </w:pPr>
      <w:rPr>
        <w:rFonts w:ascii="Wingdings" w:hAnsi="Wingdings" w:hint="default"/>
      </w:rPr>
    </w:lvl>
  </w:abstractNum>
  <w:abstractNum w:abstractNumId="15" w15:restartNumberingAfterBreak="0">
    <w:nsid w:val="30B559CF"/>
    <w:multiLevelType w:val="hybridMultilevel"/>
    <w:tmpl w:val="4A4A63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A74C53"/>
    <w:multiLevelType w:val="hybridMultilevel"/>
    <w:tmpl w:val="C0F05E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42EE707C"/>
    <w:multiLevelType w:val="multilevel"/>
    <w:tmpl w:val="2D1C1A94"/>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6817391"/>
    <w:multiLevelType w:val="hybridMultilevel"/>
    <w:tmpl w:val="E4AC3C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93537AE"/>
    <w:multiLevelType w:val="hybridMultilevel"/>
    <w:tmpl w:val="B0120EC2"/>
    <w:lvl w:ilvl="0" w:tplc="C6B6B730">
      <w:start w:val="1"/>
      <w:numFmt w:val="ordinal"/>
      <w:lvlText w:val="%1"/>
      <w:lvlJc w:val="left"/>
      <w:pPr>
        <w:tabs>
          <w:tab w:val="num" w:pos="1070"/>
        </w:tabs>
        <w:ind w:left="1070" w:hanging="360"/>
      </w:pPr>
      <w:rPr>
        <w:rFonts w:hint="default"/>
      </w:rPr>
    </w:lvl>
    <w:lvl w:ilvl="1" w:tplc="04070003">
      <w:start w:val="1"/>
      <w:numFmt w:val="bullet"/>
      <w:lvlText w:val="o"/>
      <w:lvlJc w:val="left"/>
      <w:pPr>
        <w:tabs>
          <w:tab w:val="num" w:pos="-3250"/>
        </w:tabs>
        <w:ind w:left="-3250" w:hanging="360"/>
      </w:pPr>
      <w:rPr>
        <w:rFonts w:ascii="Courier New" w:hAnsi="Courier New" w:cs="Wingdings" w:hint="default"/>
      </w:rPr>
    </w:lvl>
    <w:lvl w:ilvl="2" w:tplc="04070005">
      <w:start w:val="1"/>
      <w:numFmt w:val="bullet"/>
      <w:lvlText w:val=""/>
      <w:lvlJc w:val="left"/>
      <w:pPr>
        <w:tabs>
          <w:tab w:val="num" w:pos="-2530"/>
        </w:tabs>
        <w:ind w:left="-2530" w:hanging="360"/>
      </w:pPr>
      <w:rPr>
        <w:rFonts w:ascii="Wingdings" w:hAnsi="Wingdings" w:hint="default"/>
      </w:rPr>
    </w:lvl>
    <w:lvl w:ilvl="3" w:tplc="04070001">
      <w:start w:val="1"/>
      <w:numFmt w:val="bullet"/>
      <w:lvlText w:val=""/>
      <w:lvlJc w:val="left"/>
      <w:pPr>
        <w:tabs>
          <w:tab w:val="num" w:pos="-1810"/>
        </w:tabs>
        <w:ind w:left="-1810" w:hanging="360"/>
      </w:pPr>
      <w:rPr>
        <w:rFonts w:ascii="Symbol" w:hAnsi="Symbol" w:hint="default"/>
      </w:rPr>
    </w:lvl>
    <w:lvl w:ilvl="4" w:tplc="04070003" w:tentative="1">
      <w:start w:val="1"/>
      <w:numFmt w:val="bullet"/>
      <w:lvlText w:val="o"/>
      <w:lvlJc w:val="left"/>
      <w:pPr>
        <w:tabs>
          <w:tab w:val="num" w:pos="-1090"/>
        </w:tabs>
        <w:ind w:left="-1090" w:hanging="360"/>
      </w:pPr>
      <w:rPr>
        <w:rFonts w:ascii="Courier New" w:hAnsi="Courier New" w:cs="Wingdings" w:hint="default"/>
      </w:rPr>
    </w:lvl>
    <w:lvl w:ilvl="5" w:tplc="04070005" w:tentative="1">
      <w:start w:val="1"/>
      <w:numFmt w:val="bullet"/>
      <w:lvlText w:val=""/>
      <w:lvlJc w:val="left"/>
      <w:pPr>
        <w:tabs>
          <w:tab w:val="num" w:pos="-370"/>
        </w:tabs>
        <w:ind w:left="-370" w:hanging="360"/>
      </w:pPr>
      <w:rPr>
        <w:rFonts w:ascii="Wingdings" w:hAnsi="Wingdings" w:hint="default"/>
      </w:rPr>
    </w:lvl>
    <w:lvl w:ilvl="6" w:tplc="04070001" w:tentative="1">
      <w:start w:val="1"/>
      <w:numFmt w:val="bullet"/>
      <w:lvlText w:val=""/>
      <w:lvlJc w:val="left"/>
      <w:pPr>
        <w:tabs>
          <w:tab w:val="num" w:pos="350"/>
        </w:tabs>
        <w:ind w:left="350" w:hanging="360"/>
      </w:pPr>
      <w:rPr>
        <w:rFonts w:ascii="Symbol" w:hAnsi="Symbol" w:hint="default"/>
      </w:rPr>
    </w:lvl>
    <w:lvl w:ilvl="7" w:tplc="04070003" w:tentative="1">
      <w:start w:val="1"/>
      <w:numFmt w:val="bullet"/>
      <w:lvlText w:val="o"/>
      <w:lvlJc w:val="left"/>
      <w:pPr>
        <w:tabs>
          <w:tab w:val="num" w:pos="1070"/>
        </w:tabs>
        <w:ind w:left="1070" w:hanging="360"/>
      </w:pPr>
      <w:rPr>
        <w:rFonts w:ascii="Courier New" w:hAnsi="Courier New" w:cs="Wingdings" w:hint="default"/>
      </w:rPr>
    </w:lvl>
    <w:lvl w:ilvl="8" w:tplc="04070005" w:tentative="1">
      <w:start w:val="1"/>
      <w:numFmt w:val="bullet"/>
      <w:lvlText w:val=""/>
      <w:lvlJc w:val="left"/>
      <w:pPr>
        <w:tabs>
          <w:tab w:val="num" w:pos="1790"/>
        </w:tabs>
        <w:ind w:left="1790" w:hanging="360"/>
      </w:pPr>
      <w:rPr>
        <w:rFonts w:ascii="Wingdings" w:hAnsi="Wingdings" w:hint="default"/>
      </w:rPr>
    </w:lvl>
  </w:abstractNum>
  <w:abstractNum w:abstractNumId="20" w15:restartNumberingAfterBreak="0">
    <w:nsid w:val="4AFE30E2"/>
    <w:multiLevelType w:val="multilevel"/>
    <w:tmpl w:val="E10654CE"/>
    <w:lvl w:ilvl="0">
      <w:start w:val="1"/>
      <w:numFmt w:val="decimal"/>
      <w:pStyle w:val="Liste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0C43E60"/>
    <w:multiLevelType w:val="hybridMultilevel"/>
    <w:tmpl w:val="2582792C"/>
    <w:lvl w:ilvl="0" w:tplc="17521892">
      <w:start w:val="1"/>
      <w:numFmt w:val="decimal"/>
      <w:pStyle w:val="Liste10"/>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22" w15:restartNumberingAfterBreak="0">
    <w:nsid w:val="50C72C2E"/>
    <w:multiLevelType w:val="hybridMultilevel"/>
    <w:tmpl w:val="5E4CFBCA"/>
    <w:lvl w:ilvl="0" w:tplc="4A504D3C">
      <w:start w:val="1"/>
      <w:numFmt w:val="upperRoman"/>
      <w:lvlText w:val="%1."/>
      <w:lvlJc w:val="left"/>
      <w:pPr>
        <w:ind w:left="1233" w:hanging="720"/>
      </w:pPr>
      <w:rPr>
        <w:rFonts w:hint="default"/>
      </w:rPr>
    </w:lvl>
    <w:lvl w:ilvl="1" w:tplc="08070019" w:tentative="1">
      <w:start w:val="1"/>
      <w:numFmt w:val="lowerLetter"/>
      <w:lvlText w:val="%2."/>
      <w:lvlJc w:val="left"/>
      <w:pPr>
        <w:ind w:left="1593" w:hanging="360"/>
      </w:pPr>
    </w:lvl>
    <w:lvl w:ilvl="2" w:tplc="0807001B" w:tentative="1">
      <w:start w:val="1"/>
      <w:numFmt w:val="lowerRoman"/>
      <w:lvlText w:val="%3."/>
      <w:lvlJc w:val="right"/>
      <w:pPr>
        <w:ind w:left="2313" w:hanging="180"/>
      </w:pPr>
    </w:lvl>
    <w:lvl w:ilvl="3" w:tplc="0807000F" w:tentative="1">
      <w:start w:val="1"/>
      <w:numFmt w:val="decimal"/>
      <w:lvlText w:val="%4."/>
      <w:lvlJc w:val="left"/>
      <w:pPr>
        <w:ind w:left="3033" w:hanging="360"/>
      </w:pPr>
    </w:lvl>
    <w:lvl w:ilvl="4" w:tplc="08070019" w:tentative="1">
      <w:start w:val="1"/>
      <w:numFmt w:val="lowerLetter"/>
      <w:lvlText w:val="%5."/>
      <w:lvlJc w:val="left"/>
      <w:pPr>
        <w:ind w:left="3753" w:hanging="360"/>
      </w:pPr>
    </w:lvl>
    <w:lvl w:ilvl="5" w:tplc="0807001B" w:tentative="1">
      <w:start w:val="1"/>
      <w:numFmt w:val="lowerRoman"/>
      <w:lvlText w:val="%6."/>
      <w:lvlJc w:val="right"/>
      <w:pPr>
        <w:ind w:left="4473" w:hanging="180"/>
      </w:pPr>
    </w:lvl>
    <w:lvl w:ilvl="6" w:tplc="0807000F" w:tentative="1">
      <w:start w:val="1"/>
      <w:numFmt w:val="decimal"/>
      <w:lvlText w:val="%7."/>
      <w:lvlJc w:val="left"/>
      <w:pPr>
        <w:ind w:left="5193" w:hanging="360"/>
      </w:pPr>
    </w:lvl>
    <w:lvl w:ilvl="7" w:tplc="08070019" w:tentative="1">
      <w:start w:val="1"/>
      <w:numFmt w:val="lowerLetter"/>
      <w:lvlText w:val="%8."/>
      <w:lvlJc w:val="left"/>
      <w:pPr>
        <w:ind w:left="5913" w:hanging="360"/>
      </w:pPr>
    </w:lvl>
    <w:lvl w:ilvl="8" w:tplc="0807001B" w:tentative="1">
      <w:start w:val="1"/>
      <w:numFmt w:val="lowerRoman"/>
      <w:lvlText w:val="%9."/>
      <w:lvlJc w:val="right"/>
      <w:pPr>
        <w:ind w:left="6633" w:hanging="180"/>
      </w:pPr>
    </w:lvl>
  </w:abstractNum>
  <w:abstractNum w:abstractNumId="23" w15:restartNumberingAfterBreak="0">
    <w:nsid w:val="530B2481"/>
    <w:multiLevelType w:val="hybridMultilevel"/>
    <w:tmpl w:val="2DAA44DC"/>
    <w:lvl w:ilvl="0" w:tplc="C6B6B730">
      <w:start w:val="1"/>
      <w:numFmt w:val="ordin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548118DD"/>
    <w:multiLevelType w:val="hybridMultilevel"/>
    <w:tmpl w:val="F5C638D4"/>
    <w:lvl w:ilvl="0" w:tplc="E0F4707A">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782A17"/>
    <w:multiLevelType w:val="hybridMultilevel"/>
    <w:tmpl w:val="F0941E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1886AEA"/>
    <w:multiLevelType w:val="multilevel"/>
    <w:tmpl w:val="562C3C2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5CE506E"/>
    <w:multiLevelType w:val="multilevel"/>
    <w:tmpl w:val="8B0E217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BC52C4A"/>
    <w:multiLevelType w:val="hybridMultilevel"/>
    <w:tmpl w:val="5328844C"/>
    <w:lvl w:ilvl="0" w:tplc="E28E1B90">
      <w:start w:val="1"/>
      <w:numFmt w:val="ordinal"/>
      <w:lvlText w:val="2.%1"/>
      <w:lvlJc w:val="left"/>
      <w:pPr>
        <w:ind w:left="360" w:hanging="360"/>
      </w:pPr>
      <w:rPr>
        <w:rFonts w:hint="default"/>
      </w:rPr>
    </w:lvl>
    <w:lvl w:ilvl="1" w:tplc="E28E1B90">
      <w:start w:val="1"/>
      <w:numFmt w:val="ordinal"/>
      <w:lvlText w:val="2.%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1E82170"/>
    <w:multiLevelType w:val="hybridMultilevel"/>
    <w:tmpl w:val="446071D4"/>
    <w:lvl w:ilvl="0" w:tplc="71F8AD62">
      <w:start w:val="1"/>
      <w:numFmt w:val="bullet"/>
      <w:pStyle w:val="ListePunktI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3A41C1A"/>
    <w:multiLevelType w:val="hybridMultilevel"/>
    <w:tmpl w:val="A692AB5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414039C"/>
    <w:multiLevelType w:val="hybridMultilevel"/>
    <w:tmpl w:val="4D68F7B8"/>
    <w:lvl w:ilvl="0" w:tplc="4A9E17C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A9B4D7A"/>
    <w:multiLevelType w:val="hybridMultilevel"/>
    <w:tmpl w:val="889C3250"/>
    <w:lvl w:ilvl="0" w:tplc="98626768">
      <w:start w:val="1"/>
      <w:numFmt w:val="bullet"/>
      <w:lvlText w:val="-"/>
      <w:lvlJc w:val="left"/>
      <w:pPr>
        <w:ind w:left="720" w:hanging="360"/>
      </w:pPr>
      <w:rPr>
        <w:rFonts w:ascii="Times New Roman" w:eastAsia="Times New Roman" w:hAnsi="Times New Roman" w:cs="Times New Roman" w:hint="default"/>
      </w:rPr>
    </w:lvl>
    <w:lvl w:ilvl="1" w:tplc="08070003">
      <w:start w:val="1"/>
      <w:numFmt w:val="bullet"/>
      <w:lvlText w:val="o"/>
      <w:lvlJc w:val="left"/>
      <w:pPr>
        <w:ind w:left="1440" w:hanging="360"/>
      </w:pPr>
      <w:rPr>
        <w:rFonts w:ascii="Courier New" w:hAnsi="Courier New" w:cs="Symbol"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Symbol"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Symbol"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7E695FB8"/>
    <w:multiLevelType w:val="hybridMultilevel"/>
    <w:tmpl w:val="7756AEA8"/>
    <w:lvl w:ilvl="0" w:tplc="08609294">
      <w:start w:val="1"/>
      <w:numFmt w:val="bullet"/>
      <w:pStyle w:val="ListePunktI"/>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0"/>
  </w:num>
  <w:num w:numId="4">
    <w:abstractNumId w:val="8"/>
  </w:num>
  <w:num w:numId="5">
    <w:abstractNumId w:val="33"/>
  </w:num>
  <w:num w:numId="6">
    <w:abstractNumId w:val="29"/>
  </w:num>
  <w:num w:numId="7">
    <w:abstractNumId w:val="6"/>
  </w:num>
  <w:num w:numId="8">
    <w:abstractNumId w:val="1"/>
  </w:num>
  <w:num w:numId="9">
    <w:abstractNumId w:val="14"/>
  </w:num>
  <w:num w:numId="10">
    <w:abstractNumId w:val="19"/>
  </w:num>
  <w:num w:numId="11">
    <w:abstractNumId w:val="5"/>
  </w:num>
  <w:num w:numId="12">
    <w:abstractNumId w:val="22"/>
  </w:num>
  <w:num w:numId="13">
    <w:abstractNumId w:val="11"/>
  </w:num>
  <w:num w:numId="14">
    <w:abstractNumId w:val="3"/>
  </w:num>
  <w:num w:numId="15">
    <w:abstractNumId w:val="10"/>
  </w:num>
  <w:num w:numId="16">
    <w:abstractNumId w:val="25"/>
  </w:num>
  <w:num w:numId="17">
    <w:abstractNumId w:val="17"/>
  </w:num>
  <w:num w:numId="18">
    <w:abstractNumId w:val="12"/>
  </w:num>
  <w:num w:numId="19">
    <w:abstractNumId w:val="32"/>
  </w:num>
  <w:num w:numId="20">
    <w:abstractNumId w:val="4"/>
  </w:num>
  <w:num w:numId="21">
    <w:abstractNumId w:val="4"/>
  </w:num>
  <w:num w:numId="22">
    <w:abstractNumId w:val="26"/>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13"/>
  </w:num>
  <w:num w:numId="34">
    <w:abstractNumId w:val="18"/>
  </w:num>
  <w:num w:numId="35">
    <w:abstractNumId w:val="30"/>
  </w:num>
  <w:num w:numId="36">
    <w:abstractNumId w:val="27"/>
  </w:num>
  <w:num w:numId="37">
    <w:abstractNumId w:val="7"/>
  </w:num>
  <w:num w:numId="38">
    <w:abstractNumId w:val="31"/>
  </w:num>
  <w:num w:numId="39">
    <w:abstractNumId w:val="28"/>
  </w:num>
  <w:num w:numId="40">
    <w:abstractNumId w:val="0"/>
  </w:num>
  <w:num w:numId="41">
    <w:abstractNumId w:val="2"/>
  </w:num>
  <w:num w:numId="42">
    <w:abstractNumId w:val="16"/>
  </w:num>
  <w:num w:numId="43">
    <w:abstractNumId w:val="15"/>
  </w:num>
  <w:num w:numId="44">
    <w:abstractNumId w:val="9"/>
  </w:num>
  <w:num w:numId="45">
    <w:abstractNumId w:val="24"/>
  </w:num>
  <w:num w:numId="46">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10"/>
  <w:displayHorizont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chartTrackingRefBased/>
  <w15:docId w15:val="{B987942B-FFB2-46B9-B78C-71639134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pPr>
    <w:rPr>
      <w:rFonts w:ascii="Arial" w:eastAsia="Times New Roman" w:hAnsi="Arial"/>
      <w:lang w:val="de-CH" w:eastAsia="de-CH"/>
    </w:rPr>
  </w:style>
  <w:style w:type="paragraph" w:styleId="berschrift1">
    <w:name w:val="heading 1"/>
    <w:basedOn w:val="Standard"/>
    <w:next w:val="Standard"/>
    <w:link w:val="berschrift1Zchn"/>
    <w:qFormat/>
    <w:pPr>
      <w:keepNext/>
      <w:keepLines/>
      <w:suppressAutoHyphens/>
      <w:spacing w:before="360"/>
      <w:outlineLvl w:val="0"/>
    </w:pPr>
    <w:rPr>
      <w:b/>
      <w:bCs/>
      <w:sz w:val="30"/>
      <w:szCs w:val="28"/>
    </w:rPr>
  </w:style>
  <w:style w:type="paragraph" w:styleId="berschrift2">
    <w:name w:val="heading 2"/>
    <w:basedOn w:val="Standard"/>
    <w:next w:val="Standard"/>
    <w:link w:val="berschrift2Zchn"/>
    <w:uiPriority w:val="9"/>
    <w:qFormat/>
    <w:pPr>
      <w:keepNext/>
      <w:keepLines/>
      <w:suppressAutoHyphens/>
      <w:spacing w:before="360"/>
      <w:outlineLvl w:val="1"/>
    </w:pPr>
    <w:rPr>
      <w:b/>
      <w:bCs/>
      <w:sz w:val="26"/>
      <w:szCs w:val="26"/>
    </w:rPr>
  </w:style>
  <w:style w:type="paragraph" w:styleId="berschrift3">
    <w:name w:val="heading 3"/>
    <w:basedOn w:val="Standard"/>
    <w:next w:val="Standard"/>
    <w:link w:val="berschrift3Zchn"/>
    <w:uiPriority w:val="9"/>
    <w:qFormat/>
    <w:pPr>
      <w:keepNext/>
      <w:keepLines/>
      <w:suppressAutoHyphens/>
      <w:spacing w:before="240"/>
      <w:outlineLvl w:val="2"/>
    </w:pPr>
    <w:rPr>
      <w:b/>
      <w:bCs/>
    </w:rPr>
  </w:style>
  <w:style w:type="paragraph" w:styleId="berschrift4">
    <w:name w:val="heading 4"/>
    <w:basedOn w:val="Standard"/>
    <w:next w:val="Standard"/>
    <w:link w:val="berschrift4Zchn"/>
    <w:uiPriority w:val="9"/>
    <w:qFormat/>
    <w:pPr>
      <w:keepNext/>
      <w:suppressAutoHyphens/>
      <w:spacing w:before="240"/>
      <w:outlineLvl w:val="3"/>
    </w:pPr>
    <w:rPr>
      <w:b/>
      <w:bCs/>
      <w:iCs/>
    </w:rPr>
  </w:style>
  <w:style w:type="paragraph" w:styleId="berschrift5">
    <w:name w:val="heading 5"/>
    <w:basedOn w:val="Standard"/>
    <w:next w:val="Standard"/>
    <w:link w:val="berschrift5Zchn"/>
    <w:uiPriority w:val="9"/>
    <w:qFormat/>
    <w:pPr>
      <w:keepNext/>
      <w:keepLines/>
      <w:suppressAutoHyphens/>
      <w:spacing w:before="240"/>
      <w:outlineLvl w:val="4"/>
    </w:pPr>
    <w:rPr>
      <w:i/>
    </w:rPr>
  </w:style>
  <w:style w:type="paragraph" w:styleId="berschrift6">
    <w:name w:val="heading 6"/>
    <w:basedOn w:val="Standard"/>
    <w:next w:val="Standard"/>
    <w:link w:val="berschrift6Zchn"/>
    <w:uiPriority w:val="9"/>
    <w:unhideWhenUsed/>
    <w:pPr>
      <w:keepNext/>
      <w:shd w:val="clear" w:color="auto" w:fill="FFFFFF"/>
      <w:suppressAutoHyphens/>
      <w:spacing w:before="240" w:line="271" w:lineRule="auto"/>
      <w:outlineLvl w:val="5"/>
    </w:pPr>
    <w:rPr>
      <w:bCs/>
      <w:spacing w:val="5"/>
    </w:rPr>
  </w:style>
  <w:style w:type="paragraph" w:styleId="berschrift7">
    <w:name w:val="heading 7"/>
    <w:basedOn w:val="Standard"/>
    <w:next w:val="Standard"/>
    <w:link w:val="berschrift7Zchn"/>
    <w:uiPriority w:val="9"/>
    <w:unhideWhenUsed/>
    <w:pPr>
      <w:keepNext/>
      <w:suppressAutoHyphens/>
      <w:spacing w:before="240"/>
      <w:outlineLvl w:val="6"/>
    </w:pPr>
    <w:rPr>
      <w:bCs/>
      <w:iCs/>
    </w:rPr>
  </w:style>
  <w:style w:type="paragraph" w:styleId="berschrift8">
    <w:name w:val="heading 8"/>
    <w:basedOn w:val="Standard"/>
    <w:next w:val="Standard"/>
    <w:link w:val="berschrift8Zchn"/>
    <w:uiPriority w:val="9"/>
    <w:unhideWhenUsed/>
    <w:pPr>
      <w:keepNext/>
      <w:suppressAutoHyphens/>
      <w:spacing w:before="240"/>
      <w:outlineLvl w:val="7"/>
    </w:pPr>
    <w:rPr>
      <w:bCs/>
    </w:rPr>
  </w:style>
  <w:style w:type="paragraph" w:styleId="berschrift9">
    <w:name w:val="heading 9"/>
    <w:basedOn w:val="Standard"/>
    <w:next w:val="Standard"/>
    <w:link w:val="berschrift9Zchn"/>
    <w:uiPriority w:val="9"/>
    <w:unhideWhenUsed/>
    <w:pPr>
      <w:keepNext/>
      <w:suppressAutoHyphens/>
      <w:spacing w:before="240"/>
      <w:outlineLvl w:val="8"/>
    </w:pPr>
    <w:rPr>
      <w:bCs/>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Times New Roman" w:hAnsi="Arial"/>
      <w:b/>
      <w:bCs/>
      <w:sz w:val="30"/>
      <w:szCs w:val="28"/>
    </w:rPr>
  </w:style>
  <w:style w:type="character" w:customStyle="1" w:styleId="berschrift2Zchn">
    <w:name w:val="Überschrift 2 Zchn"/>
    <w:link w:val="berschrift2"/>
    <w:uiPriority w:val="9"/>
    <w:rPr>
      <w:rFonts w:ascii="Arial" w:eastAsia="Times New Roman" w:hAnsi="Arial"/>
      <w:b/>
      <w:bCs/>
      <w:sz w:val="26"/>
      <w:szCs w:val="26"/>
    </w:rPr>
  </w:style>
  <w:style w:type="character" w:customStyle="1" w:styleId="berschrift3Zchn">
    <w:name w:val="Überschrift 3 Zchn"/>
    <w:link w:val="berschrift3"/>
    <w:uiPriority w:val="9"/>
    <w:rPr>
      <w:rFonts w:ascii="Arial" w:eastAsia="Times New Roman" w:hAnsi="Arial"/>
      <w:b/>
      <w:bCs/>
    </w:rPr>
  </w:style>
  <w:style w:type="character" w:customStyle="1" w:styleId="berschrift4Zchn">
    <w:name w:val="Überschrift 4 Zchn"/>
    <w:link w:val="berschrift4"/>
    <w:uiPriority w:val="9"/>
    <w:rPr>
      <w:rFonts w:ascii="Arial" w:eastAsia="Times New Roman" w:hAnsi="Arial" w:cs="Times New Roman"/>
      <w:b/>
      <w:bCs/>
      <w:iCs/>
      <w:lang w:val="de-CH"/>
    </w:rPr>
  </w:style>
  <w:style w:type="character" w:customStyle="1" w:styleId="berschrift5Zchn">
    <w:name w:val="Überschrift 5 Zchn"/>
    <w:link w:val="berschrift5"/>
    <w:uiPriority w:val="9"/>
    <w:rPr>
      <w:rFonts w:ascii="Arial" w:eastAsia="Times New Roman" w:hAnsi="Arial" w:cs="Times New Roman"/>
      <w:i/>
      <w:lang w:val="de-CH"/>
    </w:rPr>
  </w:style>
  <w:style w:type="character" w:customStyle="1" w:styleId="berschrift6Zchn">
    <w:name w:val="Überschrift 6 Zchn"/>
    <w:link w:val="berschrift6"/>
    <w:uiPriority w:val="9"/>
    <w:rPr>
      <w:rFonts w:ascii="Arial" w:hAnsi="Arial"/>
      <w:bCs/>
      <w:spacing w:val="5"/>
      <w:shd w:val="clear" w:color="auto" w:fill="FFFFFF"/>
      <w:lang w:val="de-CH"/>
    </w:rPr>
  </w:style>
  <w:style w:type="character" w:customStyle="1" w:styleId="berschrift7Zchn">
    <w:name w:val="Überschrift 7 Zchn"/>
    <w:link w:val="berschrift7"/>
    <w:uiPriority w:val="9"/>
    <w:rPr>
      <w:rFonts w:ascii="Arial" w:hAnsi="Arial"/>
      <w:bCs/>
      <w:iCs/>
      <w:szCs w:val="20"/>
      <w:lang w:val="de-CH"/>
    </w:rPr>
  </w:style>
  <w:style w:type="character" w:customStyle="1" w:styleId="berschrift8Zchn">
    <w:name w:val="Überschrift 8 Zchn"/>
    <w:link w:val="berschrift8"/>
    <w:uiPriority w:val="9"/>
    <w:rPr>
      <w:rFonts w:ascii="Arial" w:hAnsi="Arial"/>
      <w:bCs/>
      <w:szCs w:val="20"/>
      <w:lang w:val="de-CH"/>
    </w:rPr>
  </w:style>
  <w:style w:type="character" w:customStyle="1" w:styleId="berschrift9Zchn">
    <w:name w:val="Überschrift 9 Zchn"/>
    <w:link w:val="berschrift9"/>
    <w:uiPriority w:val="9"/>
    <w:rPr>
      <w:rFonts w:ascii="Arial" w:hAnsi="Arial"/>
      <w:bCs/>
      <w:iCs/>
      <w:szCs w:val="18"/>
      <w:lang w:val="de-CH"/>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680"/>
        <w:tab w:val="right" w:pos="9360"/>
      </w:tabs>
      <w:spacing w:after="0"/>
    </w:pPr>
  </w:style>
  <w:style w:type="character" w:customStyle="1" w:styleId="KopfzeileZchn">
    <w:name w:val="Kopfzeile Zchn"/>
    <w:link w:val="Kopfzeile"/>
    <w:uiPriority w:val="99"/>
    <w:rPr>
      <w:rFonts w:ascii="Arial" w:hAnsi="Arial"/>
    </w:rPr>
  </w:style>
  <w:style w:type="paragraph" w:styleId="Fuzeile">
    <w:name w:val="footer"/>
    <w:basedOn w:val="Standard"/>
    <w:link w:val="FuzeileZchn"/>
    <w:uiPriority w:val="99"/>
    <w:unhideWhenUsed/>
    <w:pPr>
      <w:tabs>
        <w:tab w:val="center" w:pos="4680"/>
        <w:tab w:val="right" w:pos="9360"/>
      </w:tabs>
      <w:spacing w:after="0"/>
    </w:pPr>
  </w:style>
  <w:style w:type="character" w:customStyle="1" w:styleId="FuzeileZchn">
    <w:name w:val="Fußzeile Zchn"/>
    <w:link w:val="Fuzeile"/>
    <w:uiPriority w:val="99"/>
    <w:rPr>
      <w:rFonts w:ascii="Arial" w:hAnsi="Arial"/>
    </w:rPr>
  </w:style>
  <w:style w:type="paragraph" w:customStyle="1" w:styleId="zzPfad">
    <w:name w:val="zz Pfad"/>
    <w:basedOn w:val="Fuzeile"/>
    <w:uiPriority w:val="1"/>
    <w:pPr>
      <w:tabs>
        <w:tab w:val="clear" w:pos="4680"/>
        <w:tab w:val="clear" w:pos="9360"/>
      </w:tabs>
      <w:spacing w:line="160" w:lineRule="exact"/>
    </w:pPr>
    <w:rPr>
      <w:bCs/>
      <w:noProof/>
      <w:sz w:val="14"/>
      <w:szCs w:val="24"/>
      <w:lang w:eastAsia="de-DE"/>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Seite">
    <w:name w:val="zz Seite"/>
    <w:uiPriority w:val="1"/>
    <w:pPr>
      <w:spacing w:after="120" w:line="200" w:lineRule="exact"/>
      <w:ind w:left="391" w:hanging="391"/>
      <w:jc w:val="right"/>
    </w:pPr>
    <w:rPr>
      <w:rFonts w:ascii="Arial" w:eastAsia="Times New Roman" w:hAnsi="Arial"/>
      <w:sz w:val="14"/>
      <w:szCs w:val="24"/>
      <w:lang w:val="de-CH"/>
    </w:rPr>
  </w:style>
  <w:style w:type="paragraph" w:styleId="Verzeichnis1">
    <w:name w:val="toc 1"/>
    <w:basedOn w:val="Standard"/>
    <w:next w:val="Standard"/>
    <w:autoRedefine/>
    <w:uiPriority w:val="39"/>
    <w:unhideWhenUsed/>
    <w:pPr>
      <w:spacing w:after="100"/>
    </w:pPr>
    <w:rPr>
      <w:b/>
    </w:rPr>
  </w:style>
  <w:style w:type="paragraph" w:styleId="Verzeichnis2">
    <w:name w:val="toc 2"/>
    <w:basedOn w:val="Standard"/>
    <w:next w:val="Standard"/>
    <w:autoRedefine/>
    <w:uiPriority w:val="39"/>
    <w:unhideWhenUsed/>
    <w:pPr>
      <w:spacing w:after="100"/>
      <w:ind w:left="220"/>
    </w:pPr>
  </w:style>
  <w:style w:type="paragraph" w:customStyle="1" w:styleId="TitelI">
    <w:name w:val="Titel I"/>
    <w:basedOn w:val="Standard"/>
    <w:next w:val="Standard"/>
    <w:uiPriority w:val="1"/>
    <w:qFormat/>
    <w:pPr>
      <w:keepNext/>
      <w:suppressAutoHyphens/>
      <w:spacing w:before="360"/>
    </w:pPr>
    <w:rPr>
      <w:b/>
      <w:sz w:val="30"/>
    </w:rPr>
  </w:style>
  <w:style w:type="paragraph" w:customStyle="1" w:styleId="TitelII">
    <w:name w:val="Titel II"/>
    <w:basedOn w:val="Standard"/>
    <w:next w:val="Standard"/>
    <w:uiPriority w:val="1"/>
    <w:qFormat/>
    <w:pPr>
      <w:keepNext/>
      <w:suppressAutoHyphens/>
      <w:spacing w:before="360"/>
    </w:pPr>
    <w:rPr>
      <w:b/>
      <w:sz w:val="26"/>
    </w:rPr>
  </w:style>
  <w:style w:type="paragraph" w:customStyle="1" w:styleId="Liste10">
    <w:name w:val="Liste 1)"/>
    <w:basedOn w:val="Standard"/>
    <w:uiPriority w:val="1"/>
    <w:qFormat/>
    <w:pPr>
      <w:numPr>
        <w:numId w:val="2"/>
      </w:numPr>
      <w:ind w:left="567" w:hanging="510"/>
    </w:pPr>
  </w:style>
  <w:style w:type="paragraph" w:customStyle="1" w:styleId="Liste1">
    <w:name w:val="Liste 1."/>
    <w:basedOn w:val="Standard"/>
    <w:uiPriority w:val="1"/>
    <w:qFormat/>
    <w:pPr>
      <w:numPr>
        <w:numId w:val="3"/>
      </w:numPr>
    </w:pPr>
  </w:style>
  <w:style w:type="paragraph" w:customStyle="1" w:styleId="Listea">
    <w:name w:val="Liste a)"/>
    <w:basedOn w:val="Standard"/>
    <w:uiPriority w:val="1"/>
    <w:qFormat/>
    <w:pPr>
      <w:numPr>
        <w:numId w:val="4"/>
      </w:numPr>
      <w:ind w:left="567" w:hanging="510"/>
    </w:pPr>
  </w:style>
  <w:style w:type="paragraph" w:styleId="Inhaltsverzeichnisberschrift">
    <w:name w:val="TOC Heading"/>
    <w:basedOn w:val="berschrift1"/>
    <w:next w:val="Standard"/>
    <w:uiPriority w:val="39"/>
    <w:unhideWhenUsed/>
    <w:qFormat/>
    <w:pPr>
      <w:suppressAutoHyphens w:val="0"/>
      <w:spacing w:before="480" w:after="0"/>
      <w:ind w:left="862" w:hanging="862"/>
      <w:outlineLvl w:val="9"/>
    </w:pPr>
    <w:rPr>
      <w:rFonts w:ascii="Century Gothic" w:hAnsi="Century Gothic"/>
      <w:color w:val="E80061"/>
      <w:sz w:val="28"/>
      <w:lang w:val="en-US"/>
    </w:rPr>
  </w:style>
  <w:style w:type="paragraph" w:customStyle="1" w:styleId="zzTabellenende">
    <w:name w:val="zz Tabellenende"/>
    <w:basedOn w:val="Standard"/>
    <w:uiPriority w:val="1"/>
    <w:pPr>
      <w:spacing w:after="0"/>
    </w:pPr>
    <w:rPr>
      <w:sz w:val="8"/>
    </w:rPr>
  </w:style>
  <w:style w:type="paragraph" w:customStyle="1" w:styleId="ListePunktI">
    <w:name w:val="Liste Punkt I"/>
    <w:basedOn w:val="Standard"/>
    <w:uiPriority w:val="1"/>
    <w:qFormat/>
    <w:pPr>
      <w:numPr>
        <w:numId w:val="5"/>
      </w:numPr>
      <w:ind w:left="341" w:hanging="284"/>
    </w:pPr>
  </w:style>
  <w:style w:type="paragraph" w:customStyle="1" w:styleId="ListePunktII">
    <w:name w:val="Liste Punkt II"/>
    <w:basedOn w:val="Standard"/>
    <w:uiPriority w:val="1"/>
    <w:qFormat/>
    <w:pPr>
      <w:numPr>
        <w:numId w:val="6"/>
      </w:numPr>
      <w:ind w:left="624" w:hanging="284"/>
    </w:pPr>
  </w:style>
  <w:style w:type="paragraph" w:customStyle="1" w:styleId="ListeStrichI">
    <w:name w:val="Liste Strich I"/>
    <w:basedOn w:val="Standard"/>
    <w:uiPriority w:val="1"/>
    <w:qFormat/>
    <w:pPr>
      <w:numPr>
        <w:numId w:val="7"/>
      </w:numPr>
      <w:ind w:left="341" w:hanging="284"/>
    </w:pPr>
  </w:style>
  <w:style w:type="paragraph" w:customStyle="1" w:styleId="ListeStrichII">
    <w:name w:val="Liste Strich II"/>
    <w:basedOn w:val="Standard"/>
    <w:uiPriority w:val="1"/>
    <w:qFormat/>
    <w:pPr>
      <w:numPr>
        <w:numId w:val="8"/>
      </w:numPr>
      <w:ind w:left="624" w:hanging="284"/>
    </w:pPr>
  </w:style>
  <w:style w:type="paragraph" w:styleId="Verzeichnis3">
    <w:name w:val="toc 3"/>
    <w:basedOn w:val="Standard"/>
    <w:next w:val="Standard"/>
    <w:autoRedefine/>
    <w:uiPriority w:val="39"/>
    <w:unhideWhenUsed/>
    <w:pPr>
      <w:spacing w:after="100"/>
      <w:ind w:left="440"/>
    </w:pPr>
  </w:style>
  <w:style w:type="character" w:styleId="Hyperlink">
    <w:name w:val="Hyperlink"/>
    <w:uiPriority w:val="99"/>
    <w:unhideWhenUsed/>
    <w:rPr>
      <w:color w:val="17BBFD"/>
      <w:u w:val="single"/>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pPr>
      <w:spacing w:before="100" w:beforeAutospacing="1" w:after="100" w:afterAutospacing="1"/>
    </w:pPr>
    <w:rPr>
      <w:rFonts w:ascii="Times New Roman" w:hAnsi="Times New Roman"/>
      <w:sz w:val="24"/>
      <w:szCs w:val="24"/>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style>
  <w:style w:type="character" w:customStyle="1" w:styleId="KommentartextZchn">
    <w:name w:val="Kommentartext Zchn"/>
    <w:link w:val="Kommentartext"/>
    <w:uiPriority w:val="99"/>
    <w:rPr>
      <w:rFonts w:ascii="Arial" w:eastAsia="Times New Roman" w:hAnsi="Arial"/>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eastAsia="Times New Roman" w:hAnsi="Arial"/>
      <w:b/>
      <w:bCs/>
    </w:rPr>
  </w:style>
  <w:style w:type="paragraph" w:styleId="Endnotentext">
    <w:name w:val="endnote text"/>
    <w:basedOn w:val="Standard"/>
    <w:link w:val="EndnotentextZchn"/>
    <w:uiPriority w:val="99"/>
    <w:semiHidden/>
    <w:unhideWhenUsed/>
  </w:style>
  <w:style w:type="character" w:customStyle="1" w:styleId="EndnotentextZchn">
    <w:name w:val="Endnotentext Zchn"/>
    <w:link w:val="Endnotentext"/>
    <w:uiPriority w:val="99"/>
    <w:semiHidden/>
    <w:rPr>
      <w:rFonts w:ascii="Arial" w:eastAsia="Times New Roman" w:hAnsi="Arial"/>
    </w:rPr>
  </w:style>
  <w:style w:type="character" w:styleId="Endnotenzeichen">
    <w:name w:val="endnote reference"/>
    <w:uiPriority w:val="99"/>
    <w:semiHidden/>
    <w:unhideWhenUsed/>
    <w:rPr>
      <w:vertAlign w:val="superscript"/>
    </w:rPr>
  </w:style>
  <w:style w:type="paragraph" w:styleId="Funotentext">
    <w:name w:val="footnote text"/>
    <w:basedOn w:val="Standard"/>
    <w:link w:val="FunotentextZchn"/>
    <w:uiPriority w:val="99"/>
    <w:semiHidden/>
    <w:unhideWhenUsed/>
  </w:style>
  <w:style w:type="character" w:customStyle="1" w:styleId="FunotentextZchn">
    <w:name w:val="Fußnotentext Zchn"/>
    <w:link w:val="Funotentext"/>
    <w:uiPriority w:val="99"/>
    <w:semiHidden/>
    <w:rPr>
      <w:rFonts w:ascii="Arial" w:eastAsia="Times New Roman" w:hAnsi="Arial"/>
    </w:rPr>
  </w:style>
  <w:style w:type="character" w:styleId="Funotenzeichen">
    <w:name w:val="footnote reference"/>
    <w:uiPriority w:val="99"/>
    <w:semiHidden/>
    <w:unhideWhenUsed/>
    <w:rPr>
      <w:vertAlign w:val="superscript"/>
    </w:rPr>
  </w:style>
  <w:style w:type="character" w:styleId="BesuchterLink">
    <w:name w:val="FollowedHyperlink"/>
    <w:uiPriority w:val="99"/>
    <w:semiHidden/>
    <w:unhideWhenUsed/>
    <w:rPr>
      <w:color w:val="800080"/>
      <w:u w:val="single"/>
    </w:rPr>
  </w:style>
  <w:style w:type="paragraph" w:customStyle="1" w:styleId="Default">
    <w:name w:val="Default"/>
    <w:pPr>
      <w:autoSpaceDE w:val="0"/>
      <w:autoSpaceDN w:val="0"/>
      <w:adjustRightInd w:val="0"/>
    </w:pPr>
    <w:rPr>
      <w:rFonts w:ascii="Arial" w:hAnsi="Arial" w:cs="Arial"/>
      <w:color w:val="000000"/>
      <w:sz w:val="24"/>
      <w:szCs w:val="24"/>
      <w:lang w:val="de-CH" w:eastAsia="de-CH"/>
    </w:rPr>
  </w:style>
  <w:style w:type="table" w:customStyle="1" w:styleId="Tabellenraster1">
    <w:name w:val="Tabellenraster1"/>
    <w:basedOn w:val="NormaleTabelle"/>
    <w:next w:val="Tabellenraster"/>
    <w:uiPriority w:val="59"/>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4826">
      <w:bodyDiv w:val="1"/>
      <w:marLeft w:val="0"/>
      <w:marRight w:val="0"/>
      <w:marTop w:val="0"/>
      <w:marBottom w:val="0"/>
      <w:divBdr>
        <w:top w:val="none" w:sz="0" w:space="0" w:color="auto"/>
        <w:left w:val="none" w:sz="0" w:space="0" w:color="auto"/>
        <w:bottom w:val="none" w:sz="0" w:space="0" w:color="auto"/>
        <w:right w:val="none" w:sz="0" w:space="0" w:color="auto"/>
      </w:divBdr>
    </w:div>
    <w:div w:id="213809478">
      <w:bodyDiv w:val="1"/>
      <w:marLeft w:val="0"/>
      <w:marRight w:val="0"/>
      <w:marTop w:val="0"/>
      <w:marBottom w:val="0"/>
      <w:divBdr>
        <w:top w:val="none" w:sz="0" w:space="0" w:color="auto"/>
        <w:left w:val="none" w:sz="0" w:space="0" w:color="auto"/>
        <w:bottom w:val="none" w:sz="0" w:space="0" w:color="auto"/>
        <w:right w:val="none" w:sz="0" w:space="0" w:color="auto"/>
      </w:divBdr>
    </w:div>
    <w:div w:id="330908725">
      <w:bodyDiv w:val="1"/>
      <w:marLeft w:val="0"/>
      <w:marRight w:val="0"/>
      <w:marTop w:val="0"/>
      <w:marBottom w:val="0"/>
      <w:divBdr>
        <w:top w:val="none" w:sz="0" w:space="0" w:color="auto"/>
        <w:left w:val="none" w:sz="0" w:space="0" w:color="auto"/>
        <w:bottom w:val="none" w:sz="0" w:space="0" w:color="auto"/>
        <w:right w:val="none" w:sz="0" w:space="0" w:color="auto"/>
      </w:divBdr>
    </w:div>
    <w:div w:id="764495347">
      <w:bodyDiv w:val="1"/>
      <w:marLeft w:val="0"/>
      <w:marRight w:val="0"/>
      <w:marTop w:val="0"/>
      <w:marBottom w:val="0"/>
      <w:divBdr>
        <w:top w:val="none" w:sz="0" w:space="0" w:color="auto"/>
        <w:left w:val="none" w:sz="0" w:space="0" w:color="auto"/>
        <w:bottom w:val="none" w:sz="0" w:space="0" w:color="auto"/>
        <w:right w:val="none" w:sz="0" w:space="0" w:color="auto"/>
      </w:divBdr>
    </w:div>
    <w:div w:id="917905805">
      <w:bodyDiv w:val="1"/>
      <w:marLeft w:val="0"/>
      <w:marRight w:val="0"/>
      <w:marTop w:val="0"/>
      <w:marBottom w:val="0"/>
      <w:divBdr>
        <w:top w:val="none" w:sz="0" w:space="0" w:color="auto"/>
        <w:left w:val="none" w:sz="0" w:space="0" w:color="auto"/>
        <w:bottom w:val="none" w:sz="0" w:space="0" w:color="auto"/>
        <w:right w:val="none" w:sz="0" w:space="0" w:color="auto"/>
      </w:divBdr>
    </w:div>
    <w:div w:id="922226308">
      <w:bodyDiv w:val="1"/>
      <w:marLeft w:val="0"/>
      <w:marRight w:val="0"/>
      <w:marTop w:val="0"/>
      <w:marBottom w:val="0"/>
      <w:divBdr>
        <w:top w:val="none" w:sz="0" w:space="0" w:color="auto"/>
        <w:left w:val="none" w:sz="0" w:space="0" w:color="auto"/>
        <w:bottom w:val="none" w:sz="0" w:space="0" w:color="auto"/>
        <w:right w:val="none" w:sz="0" w:space="0" w:color="auto"/>
      </w:divBdr>
    </w:div>
    <w:div w:id="1044675008">
      <w:bodyDiv w:val="1"/>
      <w:marLeft w:val="0"/>
      <w:marRight w:val="0"/>
      <w:marTop w:val="0"/>
      <w:marBottom w:val="0"/>
      <w:divBdr>
        <w:top w:val="none" w:sz="0" w:space="0" w:color="auto"/>
        <w:left w:val="none" w:sz="0" w:space="0" w:color="auto"/>
        <w:bottom w:val="none" w:sz="0" w:space="0" w:color="auto"/>
        <w:right w:val="none" w:sz="0" w:space="0" w:color="auto"/>
      </w:divBdr>
    </w:div>
    <w:div w:id="1102839855">
      <w:bodyDiv w:val="1"/>
      <w:marLeft w:val="0"/>
      <w:marRight w:val="0"/>
      <w:marTop w:val="0"/>
      <w:marBottom w:val="0"/>
      <w:divBdr>
        <w:top w:val="none" w:sz="0" w:space="0" w:color="auto"/>
        <w:left w:val="none" w:sz="0" w:space="0" w:color="auto"/>
        <w:bottom w:val="none" w:sz="0" w:space="0" w:color="auto"/>
        <w:right w:val="none" w:sz="0" w:space="0" w:color="auto"/>
      </w:divBdr>
    </w:div>
    <w:div w:id="1147893314">
      <w:bodyDiv w:val="1"/>
      <w:marLeft w:val="0"/>
      <w:marRight w:val="0"/>
      <w:marTop w:val="0"/>
      <w:marBottom w:val="0"/>
      <w:divBdr>
        <w:top w:val="none" w:sz="0" w:space="0" w:color="auto"/>
        <w:left w:val="none" w:sz="0" w:space="0" w:color="auto"/>
        <w:bottom w:val="none" w:sz="0" w:space="0" w:color="auto"/>
        <w:right w:val="none" w:sz="0" w:space="0" w:color="auto"/>
      </w:divBdr>
    </w:div>
    <w:div w:id="1154882229">
      <w:bodyDiv w:val="1"/>
      <w:marLeft w:val="0"/>
      <w:marRight w:val="0"/>
      <w:marTop w:val="0"/>
      <w:marBottom w:val="0"/>
      <w:divBdr>
        <w:top w:val="none" w:sz="0" w:space="0" w:color="auto"/>
        <w:left w:val="none" w:sz="0" w:space="0" w:color="auto"/>
        <w:bottom w:val="none" w:sz="0" w:space="0" w:color="auto"/>
        <w:right w:val="none" w:sz="0" w:space="0" w:color="auto"/>
      </w:divBdr>
    </w:div>
    <w:div w:id="1293319432">
      <w:bodyDiv w:val="1"/>
      <w:marLeft w:val="0"/>
      <w:marRight w:val="0"/>
      <w:marTop w:val="0"/>
      <w:marBottom w:val="0"/>
      <w:divBdr>
        <w:top w:val="none" w:sz="0" w:space="0" w:color="auto"/>
        <w:left w:val="none" w:sz="0" w:space="0" w:color="auto"/>
        <w:bottom w:val="none" w:sz="0" w:space="0" w:color="auto"/>
        <w:right w:val="none" w:sz="0" w:space="0" w:color="auto"/>
      </w:divBdr>
      <w:divsChild>
        <w:div w:id="685985976">
          <w:marLeft w:val="0"/>
          <w:marRight w:val="0"/>
          <w:marTop w:val="0"/>
          <w:marBottom w:val="0"/>
          <w:divBdr>
            <w:top w:val="none" w:sz="0" w:space="0" w:color="auto"/>
            <w:left w:val="none" w:sz="0" w:space="0" w:color="auto"/>
            <w:bottom w:val="none" w:sz="0" w:space="0" w:color="auto"/>
            <w:right w:val="none" w:sz="0" w:space="0" w:color="auto"/>
          </w:divBdr>
          <w:divsChild>
            <w:div w:id="18642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7553">
      <w:bodyDiv w:val="1"/>
      <w:marLeft w:val="0"/>
      <w:marRight w:val="0"/>
      <w:marTop w:val="0"/>
      <w:marBottom w:val="0"/>
      <w:divBdr>
        <w:top w:val="none" w:sz="0" w:space="0" w:color="auto"/>
        <w:left w:val="none" w:sz="0" w:space="0" w:color="auto"/>
        <w:bottom w:val="none" w:sz="0" w:space="0" w:color="auto"/>
        <w:right w:val="none" w:sz="0" w:space="0" w:color="auto"/>
      </w:divBdr>
    </w:div>
    <w:div w:id="1380587109">
      <w:bodyDiv w:val="1"/>
      <w:marLeft w:val="0"/>
      <w:marRight w:val="0"/>
      <w:marTop w:val="0"/>
      <w:marBottom w:val="0"/>
      <w:divBdr>
        <w:top w:val="none" w:sz="0" w:space="0" w:color="auto"/>
        <w:left w:val="none" w:sz="0" w:space="0" w:color="auto"/>
        <w:bottom w:val="none" w:sz="0" w:space="0" w:color="auto"/>
        <w:right w:val="none" w:sz="0" w:space="0" w:color="auto"/>
      </w:divBdr>
    </w:div>
    <w:div w:id="1569995386">
      <w:bodyDiv w:val="1"/>
      <w:marLeft w:val="0"/>
      <w:marRight w:val="0"/>
      <w:marTop w:val="0"/>
      <w:marBottom w:val="0"/>
      <w:divBdr>
        <w:top w:val="none" w:sz="0" w:space="0" w:color="auto"/>
        <w:left w:val="none" w:sz="0" w:space="0" w:color="auto"/>
        <w:bottom w:val="none" w:sz="0" w:space="0" w:color="auto"/>
        <w:right w:val="none" w:sz="0" w:space="0" w:color="auto"/>
      </w:divBdr>
    </w:div>
    <w:div w:id="1581023192">
      <w:bodyDiv w:val="1"/>
      <w:marLeft w:val="0"/>
      <w:marRight w:val="0"/>
      <w:marTop w:val="0"/>
      <w:marBottom w:val="0"/>
      <w:divBdr>
        <w:top w:val="none" w:sz="0" w:space="0" w:color="auto"/>
        <w:left w:val="none" w:sz="0" w:space="0" w:color="auto"/>
        <w:bottom w:val="none" w:sz="0" w:space="0" w:color="auto"/>
        <w:right w:val="none" w:sz="0" w:space="0" w:color="auto"/>
      </w:divBdr>
    </w:div>
    <w:div w:id="1616013471">
      <w:bodyDiv w:val="1"/>
      <w:marLeft w:val="0"/>
      <w:marRight w:val="0"/>
      <w:marTop w:val="0"/>
      <w:marBottom w:val="0"/>
      <w:divBdr>
        <w:top w:val="none" w:sz="0" w:space="0" w:color="auto"/>
        <w:left w:val="none" w:sz="0" w:space="0" w:color="auto"/>
        <w:bottom w:val="none" w:sz="0" w:space="0" w:color="auto"/>
        <w:right w:val="none" w:sz="0" w:space="0" w:color="auto"/>
      </w:divBdr>
    </w:div>
    <w:div w:id="1643582079">
      <w:bodyDiv w:val="1"/>
      <w:marLeft w:val="0"/>
      <w:marRight w:val="0"/>
      <w:marTop w:val="0"/>
      <w:marBottom w:val="0"/>
      <w:divBdr>
        <w:top w:val="none" w:sz="0" w:space="0" w:color="auto"/>
        <w:left w:val="none" w:sz="0" w:space="0" w:color="auto"/>
        <w:bottom w:val="none" w:sz="0" w:space="0" w:color="auto"/>
        <w:right w:val="none" w:sz="0" w:space="0" w:color="auto"/>
      </w:divBdr>
    </w:div>
    <w:div w:id="1739666782">
      <w:bodyDiv w:val="1"/>
      <w:marLeft w:val="0"/>
      <w:marRight w:val="0"/>
      <w:marTop w:val="0"/>
      <w:marBottom w:val="0"/>
      <w:divBdr>
        <w:top w:val="none" w:sz="0" w:space="0" w:color="auto"/>
        <w:left w:val="none" w:sz="0" w:space="0" w:color="auto"/>
        <w:bottom w:val="none" w:sz="0" w:space="0" w:color="auto"/>
        <w:right w:val="none" w:sz="0" w:space="0" w:color="auto"/>
      </w:divBdr>
    </w:div>
    <w:div w:id="1749881638">
      <w:bodyDiv w:val="1"/>
      <w:marLeft w:val="0"/>
      <w:marRight w:val="0"/>
      <w:marTop w:val="0"/>
      <w:marBottom w:val="0"/>
      <w:divBdr>
        <w:top w:val="none" w:sz="0" w:space="0" w:color="auto"/>
        <w:left w:val="none" w:sz="0" w:space="0" w:color="auto"/>
        <w:bottom w:val="none" w:sz="0" w:space="0" w:color="auto"/>
        <w:right w:val="none" w:sz="0" w:space="0" w:color="auto"/>
      </w:divBdr>
    </w:div>
    <w:div w:id="1862547392">
      <w:bodyDiv w:val="1"/>
      <w:marLeft w:val="0"/>
      <w:marRight w:val="0"/>
      <w:marTop w:val="0"/>
      <w:marBottom w:val="0"/>
      <w:divBdr>
        <w:top w:val="none" w:sz="0" w:space="0" w:color="auto"/>
        <w:left w:val="none" w:sz="0" w:space="0" w:color="auto"/>
        <w:bottom w:val="none" w:sz="0" w:space="0" w:color="auto"/>
        <w:right w:val="none" w:sz="0" w:space="0" w:color="auto"/>
      </w:divBdr>
    </w:div>
    <w:div w:id="1899437203">
      <w:bodyDiv w:val="1"/>
      <w:marLeft w:val="0"/>
      <w:marRight w:val="0"/>
      <w:marTop w:val="0"/>
      <w:marBottom w:val="0"/>
      <w:divBdr>
        <w:top w:val="none" w:sz="0" w:space="0" w:color="auto"/>
        <w:left w:val="none" w:sz="0" w:space="0" w:color="auto"/>
        <w:bottom w:val="none" w:sz="0" w:space="0" w:color="auto"/>
        <w:right w:val="none" w:sz="0" w:space="0" w:color="auto"/>
      </w:divBdr>
    </w:div>
    <w:div w:id="2023240840">
      <w:bodyDiv w:val="1"/>
      <w:marLeft w:val="0"/>
      <w:marRight w:val="0"/>
      <w:marTop w:val="0"/>
      <w:marBottom w:val="0"/>
      <w:divBdr>
        <w:top w:val="none" w:sz="0" w:space="0" w:color="auto"/>
        <w:left w:val="none" w:sz="0" w:space="0" w:color="auto"/>
        <w:bottom w:val="none" w:sz="0" w:space="0" w:color="auto"/>
        <w:right w:val="none" w:sz="0" w:space="0" w:color="auto"/>
      </w:divBdr>
    </w:div>
    <w:div w:id="2105227106">
      <w:bodyDiv w:val="1"/>
      <w:marLeft w:val="0"/>
      <w:marRight w:val="0"/>
      <w:marTop w:val="0"/>
      <w:marBottom w:val="0"/>
      <w:divBdr>
        <w:top w:val="none" w:sz="0" w:space="0" w:color="auto"/>
        <w:left w:val="none" w:sz="0" w:space="0" w:color="auto"/>
        <w:bottom w:val="none" w:sz="0" w:space="0" w:color="auto"/>
        <w:right w:val="none" w:sz="0" w:space="0" w:color="auto"/>
      </w:divBdr>
    </w:div>
    <w:div w:id="21398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bundespublikationen.admin.ch" TargetMode="Externa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www.bvz.admin.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 Id="rId22" Type="http://schemas.openxmlformats.org/officeDocument/2006/relationships/hyperlink" Target="http://www.oda.berufsbildung.ch" TargetMode="External"/><Relationship Id="rId27" Type="http://schemas.openxmlformats.org/officeDocument/2006/relationships/header" Target="header8.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8A5D00-A605-4DF6-9EBB-01435A018003}" type="doc">
      <dgm:prSet loTypeId="urn:microsoft.com/office/officeart/2005/8/layout/gear1" loCatId="cycle" qsTypeId="urn:microsoft.com/office/officeart/2005/8/quickstyle/simple1" qsCatId="simple" csTypeId="urn:microsoft.com/office/officeart/2005/8/colors/accent1_2" csCatId="accent1" phldr="1"/>
      <dgm:spPr/>
    </dgm:pt>
    <dgm:pt modelId="{93915507-05F6-456D-AF78-430CA472CBF7}">
      <dgm:prSet phldrT="[Text]"/>
      <dgm:spPr>
        <a:solidFill>
          <a:srgbClr val="0070C0"/>
        </a:solidFill>
      </dgm:spPr>
      <dgm:t>
        <a:bodyPr/>
        <a:lstStyle/>
        <a:p>
          <a:r>
            <a:rPr lang="de-CH"/>
            <a:t>Betrieb</a:t>
          </a:r>
        </a:p>
      </dgm:t>
    </dgm:pt>
    <dgm:pt modelId="{900F181F-2D17-4CC0-9725-4CC2D35F20C4}" type="parTrans" cxnId="{170DE3B3-9698-44D7-86F4-F9AEAB5093BE}">
      <dgm:prSet/>
      <dgm:spPr/>
      <dgm:t>
        <a:bodyPr/>
        <a:lstStyle/>
        <a:p>
          <a:endParaRPr lang="de-CH"/>
        </a:p>
      </dgm:t>
    </dgm:pt>
    <dgm:pt modelId="{51901890-FDBE-4A92-A74F-F2DD3444CD7A}" type="sibTrans" cxnId="{170DE3B3-9698-44D7-86F4-F9AEAB5093BE}">
      <dgm:prSet/>
      <dgm:spPr>
        <a:solidFill>
          <a:srgbClr val="0070C0"/>
        </a:solidFill>
      </dgm:spPr>
      <dgm:t>
        <a:bodyPr/>
        <a:lstStyle/>
        <a:p>
          <a:endParaRPr lang="de-CH"/>
        </a:p>
      </dgm:t>
    </dgm:pt>
    <dgm:pt modelId="{68B5C1B5-9EA5-49A0-B684-D8F3DD5E854B}">
      <dgm:prSet phldrT="[Text]"/>
      <dgm:spPr>
        <a:solidFill>
          <a:srgbClr val="8B9BED"/>
        </a:solidFill>
      </dgm:spPr>
      <dgm:t>
        <a:bodyPr/>
        <a:lstStyle/>
        <a:p>
          <a:r>
            <a:rPr lang="de-CH"/>
            <a:t>BFS</a:t>
          </a:r>
        </a:p>
      </dgm:t>
    </dgm:pt>
    <dgm:pt modelId="{32157A67-5271-42DE-B91F-D52A355BB448}" type="parTrans" cxnId="{701CDF41-5E5B-4399-B76A-014D25F63832}">
      <dgm:prSet/>
      <dgm:spPr/>
      <dgm:t>
        <a:bodyPr/>
        <a:lstStyle/>
        <a:p>
          <a:endParaRPr lang="de-CH"/>
        </a:p>
      </dgm:t>
    </dgm:pt>
    <dgm:pt modelId="{750C2011-A8D0-4431-881C-9FFE94680972}" type="sibTrans" cxnId="{701CDF41-5E5B-4399-B76A-014D25F63832}">
      <dgm:prSet/>
      <dgm:spPr>
        <a:solidFill>
          <a:srgbClr val="8B9BED"/>
        </a:solidFill>
      </dgm:spPr>
      <dgm:t>
        <a:bodyPr/>
        <a:lstStyle/>
        <a:p>
          <a:endParaRPr lang="de-CH"/>
        </a:p>
      </dgm:t>
    </dgm:pt>
    <dgm:pt modelId="{257AAA8E-6CA8-48E8-98BD-62AA335B5CC7}">
      <dgm:prSet phldrT="[Text]"/>
      <dgm:spPr>
        <a:solidFill>
          <a:srgbClr val="18E1E6"/>
        </a:solidFill>
      </dgm:spPr>
      <dgm:t>
        <a:bodyPr/>
        <a:lstStyle/>
        <a:p>
          <a:r>
            <a:rPr lang="de-CH"/>
            <a:t>üK</a:t>
          </a:r>
        </a:p>
      </dgm:t>
    </dgm:pt>
    <dgm:pt modelId="{0E15BD7E-806E-4DCF-A87D-D435B17EEF03}" type="parTrans" cxnId="{765A4186-934C-46C1-AA8A-A950DDC57453}">
      <dgm:prSet/>
      <dgm:spPr/>
      <dgm:t>
        <a:bodyPr/>
        <a:lstStyle/>
        <a:p>
          <a:endParaRPr lang="de-CH"/>
        </a:p>
      </dgm:t>
    </dgm:pt>
    <dgm:pt modelId="{B0DD3660-AD44-403E-AA59-CF498F048E70}" type="sibTrans" cxnId="{765A4186-934C-46C1-AA8A-A950DDC57453}">
      <dgm:prSet/>
      <dgm:spPr>
        <a:solidFill>
          <a:srgbClr val="18E1E6"/>
        </a:solidFill>
      </dgm:spPr>
      <dgm:t>
        <a:bodyPr/>
        <a:lstStyle/>
        <a:p>
          <a:endParaRPr lang="de-CH"/>
        </a:p>
      </dgm:t>
    </dgm:pt>
    <dgm:pt modelId="{4C3AAA47-1440-46BF-8B3A-0FF0A22C9F4D}" type="pres">
      <dgm:prSet presAssocID="{1D8A5D00-A605-4DF6-9EBB-01435A018003}" presName="composite" presStyleCnt="0">
        <dgm:presLayoutVars>
          <dgm:chMax val="3"/>
          <dgm:animLvl val="lvl"/>
          <dgm:resizeHandles val="exact"/>
        </dgm:presLayoutVars>
      </dgm:prSet>
      <dgm:spPr/>
    </dgm:pt>
    <dgm:pt modelId="{5C00F5C8-038F-43B4-9F78-072655B55763}" type="pres">
      <dgm:prSet presAssocID="{93915507-05F6-456D-AF78-430CA472CBF7}" presName="gear1" presStyleLbl="node1" presStyleIdx="0" presStyleCnt="3">
        <dgm:presLayoutVars>
          <dgm:chMax val="1"/>
          <dgm:bulletEnabled val="1"/>
        </dgm:presLayoutVars>
      </dgm:prSet>
      <dgm:spPr/>
    </dgm:pt>
    <dgm:pt modelId="{7E4FAE57-23E2-4B81-828C-980EAFD23D6B}" type="pres">
      <dgm:prSet presAssocID="{93915507-05F6-456D-AF78-430CA472CBF7}" presName="gear1srcNode" presStyleLbl="node1" presStyleIdx="0" presStyleCnt="3"/>
      <dgm:spPr/>
    </dgm:pt>
    <dgm:pt modelId="{583D4492-6B28-4734-A08E-9BF3E91D4BBA}" type="pres">
      <dgm:prSet presAssocID="{93915507-05F6-456D-AF78-430CA472CBF7}" presName="gear1dstNode" presStyleLbl="node1" presStyleIdx="0" presStyleCnt="3"/>
      <dgm:spPr/>
    </dgm:pt>
    <dgm:pt modelId="{B5CA3EEC-4039-42AF-A273-6D21B9749934}" type="pres">
      <dgm:prSet presAssocID="{68B5C1B5-9EA5-49A0-B684-D8F3DD5E854B}" presName="gear2" presStyleLbl="node1" presStyleIdx="1" presStyleCnt="3">
        <dgm:presLayoutVars>
          <dgm:chMax val="1"/>
          <dgm:bulletEnabled val="1"/>
        </dgm:presLayoutVars>
      </dgm:prSet>
      <dgm:spPr/>
    </dgm:pt>
    <dgm:pt modelId="{E87E3D3F-80BE-4AA0-917C-D4FE281140DB}" type="pres">
      <dgm:prSet presAssocID="{68B5C1B5-9EA5-49A0-B684-D8F3DD5E854B}" presName="gear2srcNode" presStyleLbl="node1" presStyleIdx="1" presStyleCnt="3"/>
      <dgm:spPr/>
    </dgm:pt>
    <dgm:pt modelId="{267D0C19-8F33-40C7-BC43-D96148FAA8DC}" type="pres">
      <dgm:prSet presAssocID="{68B5C1B5-9EA5-49A0-B684-D8F3DD5E854B}" presName="gear2dstNode" presStyleLbl="node1" presStyleIdx="1" presStyleCnt="3"/>
      <dgm:spPr/>
    </dgm:pt>
    <dgm:pt modelId="{970612AE-D613-4CF3-AA0F-93C74287CA20}" type="pres">
      <dgm:prSet presAssocID="{257AAA8E-6CA8-48E8-98BD-62AA335B5CC7}" presName="gear3" presStyleLbl="node1" presStyleIdx="2" presStyleCnt="3"/>
      <dgm:spPr/>
    </dgm:pt>
    <dgm:pt modelId="{B00A4F0E-D7D4-49AE-A682-F26660618CC5}" type="pres">
      <dgm:prSet presAssocID="{257AAA8E-6CA8-48E8-98BD-62AA335B5CC7}" presName="gear3tx" presStyleLbl="node1" presStyleIdx="2" presStyleCnt="3">
        <dgm:presLayoutVars>
          <dgm:chMax val="1"/>
          <dgm:bulletEnabled val="1"/>
        </dgm:presLayoutVars>
      </dgm:prSet>
      <dgm:spPr/>
    </dgm:pt>
    <dgm:pt modelId="{F89857C5-16E6-40D6-8021-5FFA2D8FE4FD}" type="pres">
      <dgm:prSet presAssocID="{257AAA8E-6CA8-48E8-98BD-62AA335B5CC7}" presName="gear3srcNode" presStyleLbl="node1" presStyleIdx="2" presStyleCnt="3"/>
      <dgm:spPr/>
    </dgm:pt>
    <dgm:pt modelId="{88D4F1E3-3FC1-4266-97D5-F4A3536643F5}" type="pres">
      <dgm:prSet presAssocID="{257AAA8E-6CA8-48E8-98BD-62AA335B5CC7}" presName="gear3dstNode" presStyleLbl="node1" presStyleIdx="2" presStyleCnt="3"/>
      <dgm:spPr/>
    </dgm:pt>
    <dgm:pt modelId="{AED305BB-5924-42BD-994D-1E74EA0CBB2E}" type="pres">
      <dgm:prSet presAssocID="{51901890-FDBE-4A92-A74F-F2DD3444CD7A}" presName="connector1" presStyleLbl="sibTrans2D1" presStyleIdx="0" presStyleCnt="3"/>
      <dgm:spPr/>
    </dgm:pt>
    <dgm:pt modelId="{70EC8C21-8E29-4A6A-8D7E-0534EC2F0BAE}" type="pres">
      <dgm:prSet presAssocID="{750C2011-A8D0-4431-881C-9FFE94680972}" presName="connector2" presStyleLbl="sibTrans2D1" presStyleIdx="1" presStyleCnt="3"/>
      <dgm:spPr/>
    </dgm:pt>
    <dgm:pt modelId="{2A0841D8-69A7-4B05-BE02-79BDA05810B1}" type="pres">
      <dgm:prSet presAssocID="{B0DD3660-AD44-403E-AA59-CF498F048E70}" presName="connector3" presStyleLbl="sibTrans2D1" presStyleIdx="2" presStyleCnt="3" custAng="7100868" custFlipHor="1"/>
      <dgm:spPr/>
    </dgm:pt>
  </dgm:ptLst>
  <dgm:cxnLst>
    <dgm:cxn modelId="{51D29013-544A-450B-A472-D5EF7AFA4502}" type="presOf" srcId="{257AAA8E-6CA8-48E8-98BD-62AA335B5CC7}" destId="{B00A4F0E-D7D4-49AE-A682-F26660618CC5}" srcOrd="1" destOrd="0" presId="urn:microsoft.com/office/officeart/2005/8/layout/gear1"/>
    <dgm:cxn modelId="{F97FA42D-3B6F-4C24-9604-F6DD0156FDAE}" type="presOf" srcId="{93915507-05F6-456D-AF78-430CA472CBF7}" destId="{7E4FAE57-23E2-4B81-828C-980EAFD23D6B}" srcOrd="1" destOrd="0" presId="urn:microsoft.com/office/officeart/2005/8/layout/gear1"/>
    <dgm:cxn modelId="{701CDF41-5E5B-4399-B76A-014D25F63832}" srcId="{1D8A5D00-A605-4DF6-9EBB-01435A018003}" destId="{68B5C1B5-9EA5-49A0-B684-D8F3DD5E854B}" srcOrd="1" destOrd="0" parTransId="{32157A67-5271-42DE-B91F-D52A355BB448}" sibTransId="{750C2011-A8D0-4431-881C-9FFE94680972}"/>
    <dgm:cxn modelId="{58638962-40DA-4DD6-B030-7D70E205D57E}" type="presOf" srcId="{93915507-05F6-456D-AF78-430CA472CBF7}" destId="{583D4492-6B28-4734-A08E-9BF3E91D4BBA}" srcOrd="2" destOrd="0" presId="urn:microsoft.com/office/officeart/2005/8/layout/gear1"/>
    <dgm:cxn modelId="{B52B5F63-7DD2-4027-95A7-C76090DD0B20}" type="presOf" srcId="{257AAA8E-6CA8-48E8-98BD-62AA335B5CC7}" destId="{970612AE-D613-4CF3-AA0F-93C74287CA20}" srcOrd="0" destOrd="0" presId="urn:microsoft.com/office/officeart/2005/8/layout/gear1"/>
    <dgm:cxn modelId="{846B176F-B54C-4CE4-88F5-229748F79365}" type="presOf" srcId="{1D8A5D00-A605-4DF6-9EBB-01435A018003}" destId="{4C3AAA47-1440-46BF-8B3A-0FF0A22C9F4D}" srcOrd="0" destOrd="0" presId="urn:microsoft.com/office/officeart/2005/8/layout/gear1"/>
    <dgm:cxn modelId="{165CA275-251E-4858-B6F1-131E558D7B6B}" type="presOf" srcId="{93915507-05F6-456D-AF78-430CA472CBF7}" destId="{5C00F5C8-038F-43B4-9F78-072655B55763}" srcOrd="0" destOrd="0" presId="urn:microsoft.com/office/officeart/2005/8/layout/gear1"/>
    <dgm:cxn modelId="{765A4186-934C-46C1-AA8A-A950DDC57453}" srcId="{1D8A5D00-A605-4DF6-9EBB-01435A018003}" destId="{257AAA8E-6CA8-48E8-98BD-62AA335B5CC7}" srcOrd="2" destOrd="0" parTransId="{0E15BD7E-806E-4DCF-A87D-D435B17EEF03}" sibTransId="{B0DD3660-AD44-403E-AA59-CF498F048E70}"/>
    <dgm:cxn modelId="{5658BC8A-0F02-4AE2-9334-EE56FCFA64BE}" type="presOf" srcId="{B0DD3660-AD44-403E-AA59-CF498F048E70}" destId="{2A0841D8-69A7-4B05-BE02-79BDA05810B1}" srcOrd="0" destOrd="0" presId="urn:microsoft.com/office/officeart/2005/8/layout/gear1"/>
    <dgm:cxn modelId="{6B4F058C-EE59-43E6-91CF-4A492E50489C}" type="presOf" srcId="{51901890-FDBE-4A92-A74F-F2DD3444CD7A}" destId="{AED305BB-5924-42BD-994D-1E74EA0CBB2E}" srcOrd="0" destOrd="0" presId="urn:microsoft.com/office/officeart/2005/8/layout/gear1"/>
    <dgm:cxn modelId="{34B27C8F-4D2A-4354-8167-534F41B7BC82}" type="presOf" srcId="{68B5C1B5-9EA5-49A0-B684-D8F3DD5E854B}" destId="{B5CA3EEC-4039-42AF-A273-6D21B9749934}" srcOrd="0" destOrd="0" presId="urn:microsoft.com/office/officeart/2005/8/layout/gear1"/>
    <dgm:cxn modelId="{3EDF8090-E3C6-45D7-AC61-8DDEA858AA05}" type="presOf" srcId="{750C2011-A8D0-4431-881C-9FFE94680972}" destId="{70EC8C21-8E29-4A6A-8D7E-0534EC2F0BAE}" srcOrd="0" destOrd="0" presId="urn:microsoft.com/office/officeart/2005/8/layout/gear1"/>
    <dgm:cxn modelId="{8FAD559A-0404-4A8F-81CB-D7D27045AB90}" type="presOf" srcId="{257AAA8E-6CA8-48E8-98BD-62AA335B5CC7}" destId="{88D4F1E3-3FC1-4266-97D5-F4A3536643F5}" srcOrd="3" destOrd="0" presId="urn:microsoft.com/office/officeart/2005/8/layout/gear1"/>
    <dgm:cxn modelId="{170DE3B3-9698-44D7-86F4-F9AEAB5093BE}" srcId="{1D8A5D00-A605-4DF6-9EBB-01435A018003}" destId="{93915507-05F6-456D-AF78-430CA472CBF7}" srcOrd="0" destOrd="0" parTransId="{900F181F-2D17-4CC0-9725-4CC2D35F20C4}" sibTransId="{51901890-FDBE-4A92-A74F-F2DD3444CD7A}"/>
    <dgm:cxn modelId="{3659FCC1-7244-4209-AD5B-4C2EE7BAA72D}" type="presOf" srcId="{257AAA8E-6CA8-48E8-98BD-62AA335B5CC7}" destId="{F89857C5-16E6-40D6-8021-5FFA2D8FE4FD}" srcOrd="2" destOrd="0" presId="urn:microsoft.com/office/officeart/2005/8/layout/gear1"/>
    <dgm:cxn modelId="{EB9E44D7-B1A4-4DB6-8930-DD9B167E75B3}" type="presOf" srcId="{68B5C1B5-9EA5-49A0-B684-D8F3DD5E854B}" destId="{267D0C19-8F33-40C7-BC43-D96148FAA8DC}" srcOrd="2" destOrd="0" presId="urn:microsoft.com/office/officeart/2005/8/layout/gear1"/>
    <dgm:cxn modelId="{F9B744E2-F4AB-45C1-BF19-D789063BD55F}" type="presOf" srcId="{68B5C1B5-9EA5-49A0-B684-D8F3DD5E854B}" destId="{E87E3D3F-80BE-4AA0-917C-D4FE281140DB}" srcOrd="1" destOrd="0" presId="urn:microsoft.com/office/officeart/2005/8/layout/gear1"/>
    <dgm:cxn modelId="{EEC3321E-84CE-4959-9CF7-D7B9ED525D99}" type="presParOf" srcId="{4C3AAA47-1440-46BF-8B3A-0FF0A22C9F4D}" destId="{5C00F5C8-038F-43B4-9F78-072655B55763}" srcOrd="0" destOrd="0" presId="urn:microsoft.com/office/officeart/2005/8/layout/gear1"/>
    <dgm:cxn modelId="{AF1124AF-50C1-4743-B086-14BA4455F80F}" type="presParOf" srcId="{4C3AAA47-1440-46BF-8B3A-0FF0A22C9F4D}" destId="{7E4FAE57-23E2-4B81-828C-980EAFD23D6B}" srcOrd="1" destOrd="0" presId="urn:microsoft.com/office/officeart/2005/8/layout/gear1"/>
    <dgm:cxn modelId="{082D57FE-4A2A-4D00-AA4F-205D3B00601F}" type="presParOf" srcId="{4C3AAA47-1440-46BF-8B3A-0FF0A22C9F4D}" destId="{583D4492-6B28-4734-A08E-9BF3E91D4BBA}" srcOrd="2" destOrd="0" presId="urn:microsoft.com/office/officeart/2005/8/layout/gear1"/>
    <dgm:cxn modelId="{F708701F-4A26-4E36-9D46-35C7569F77D3}" type="presParOf" srcId="{4C3AAA47-1440-46BF-8B3A-0FF0A22C9F4D}" destId="{B5CA3EEC-4039-42AF-A273-6D21B9749934}" srcOrd="3" destOrd="0" presId="urn:microsoft.com/office/officeart/2005/8/layout/gear1"/>
    <dgm:cxn modelId="{6F3ADD69-40C8-4553-A33F-418675950384}" type="presParOf" srcId="{4C3AAA47-1440-46BF-8B3A-0FF0A22C9F4D}" destId="{E87E3D3F-80BE-4AA0-917C-D4FE281140DB}" srcOrd="4" destOrd="0" presId="urn:microsoft.com/office/officeart/2005/8/layout/gear1"/>
    <dgm:cxn modelId="{52DFC6D5-49D3-4654-AD2C-2F644F488769}" type="presParOf" srcId="{4C3AAA47-1440-46BF-8B3A-0FF0A22C9F4D}" destId="{267D0C19-8F33-40C7-BC43-D96148FAA8DC}" srcOrd="5" destOrd="0" presId="urn:microsoft.com/office/officeart/2005/8/layout/gear1"/>
    <dgm:cxn modelId="{C8DBC9E6-5AAD-43A6-B780-0D05C7B7B6AD}" type="presParOf" srcId="{4C3AAA47-1440-46BF-8B3A-0FF0A22C9F4D}" destId="{970612AE-D613-4CF3-AA0F-93C74287CA20}" srcOrd="6" destOrd="0" presId="urn:microsoft.com/office/officeart/2005/8/layout/gear1"/>
    <dgm:cxn modelId="{342E7F66-56DF-478B-926A-A9D15E52F04E}" type="presParOf" srcId="{4C3AAA47-1440-46BF-8B3A-0FF0A22C9F4D}" destId="{B00A4F0E-D7D4-49AE-A682-F26660618CC5}" srcOrd="7" destOrd="0" presId="urn:microsoft.com/office/officeart/2005/8/layout/gear1"/>
    <dgm:cxn modelId="{9AD41D85-F4CF-499E-A972-4CD23E357D1E}" type="presParOf" srcId="{4C3AAA47-1440-46BF-8B3A-0FF0A22C9F4D}" destId="{F89857C5-16E6-40D6-8021-5FFA2D8FE4FD}" srcOrd="8" destOrd="0" presId="urn:microsoft.com/office/officeart/2005/8/layout/gear1"/>
    <dgm:cxn modelId="{99B6F4EA-B2AA-46C4-B049-DBC8F68C84F5}" type="presParOf" srcId="{4C3AAA47-1440-46BF-8B3A-0FF0A22C9F4D}" destId="{88D4F1E3-3FC1-4266-97D5-F4A3536643F5}" srcOrd="9" destOrd="0" presId="urn:microsoft.com/office/officeart/2005/8/layout/gear1"/>
    <dgm:cxn modelId="{6F065064-F651-436C-B3AD-7919ED2E96C2}" type="presParOf" srcId="{4C3AAA47-1440-46BF-8B3A-0FF0A22C9F4D}" destId="{AED305BB-5924-42BD-994D-1E74EA0CBB2E}" srcOrd="10" destOrd="0" presId="urn:microsoft.com/office/officeart/2005/8/layout/gear1"/>
    <dgm:cxn modelId="{0D1CB8E2-234F-4E28-BBEA-9F9288DFF499}" type="presParOf" srcId="{4C3AAA47-1440-46BF-8B3A-0FF0A22C9F4D}" destId="{70EC8C21-8E29-4A6A-8D7E-0534EC2F0BAE}" srcOrd="11" destOrd="0" presId="urn:microsoft.com/office/officeart/2005/8/layout/gear1"/>
    <dgm:cxn modelId="{F5158188-F5B4-4072-A6E7-709BC729012C}" type="presParOf" srcId="{4C3AAA47-1440-46BF-8B3A-0FF0A22C9F4D}" destId="{2A0841D8-69A7-4B05-BE02-79BDA05810B1}" srcOrd="12" destOrd="0" presId="urn:microsoft.com/office/officeart/2005/8/layout/gear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0F5C8-038F-43B4-9F78-072655B55763}">
      <dsp:nvSpPr>
        <dsp:cNvPr id="0" name=""/>
        <dsp:cNvSpPr/>
      </dsp:nvSpPr>
      <dsp:spPr>
        <a:xfrm>
          <a:off x="1453895" y="1155721"/>
          <a:ext cx="1412549" cy="1412549"/>
        </a:xfrm>
        <a:prstGeom prst="gear9">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de-CH" sz="2000" kern="1200"/>
            <a:t>Betrieb</a:t>
          </a:r>
        </a:p>
      </dsp:txBody>
      <dsp:txXfrm>
        <a:off x="1737880" y="1486604"/>
        <a:ext cx="844579" cy="726079"/>
      </dsp:txXfrm>
    </dsp:sp>
    <dsp:sp modelId="{B5CA3EEC-4039-42AF-A273-6D21B9749934}">
      <dsp:nvSpPr>
        <dsp:cNvPr id="0" name=""/>
        <dsp:cNvSpPr/>
      </dsp:nvSpPr>
      <dsp:spPr>
        <a:xfrm>
          <a:off x="632049" y="821846"/>
          <a:ext cx="1027308" cy="1027308"/>
        </a:xfrm>
        <a:prstGeom prst="gear6">
          <a:avLst/>
        </a:prstGeom>
        <a:solidFill>
          <a:srgbClr val="8B9BE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de-CH" sz="2000" kern="1200"/>
            <a:t>BFS</a:t>
          </a:r>
        </a:p>
      </dsp:txBody>
      <dsp:txXfrm>
        <a:off x="890677" y="1082037"/>
        <a:ext cx="510052" cy="506926"/>
      </dsp:txXfrm>
    </dsp:sp>
    <dsp:sp modelId="{970612AE-D613-4CF3-AA0F-93C74287CA20}">
      <dsp:nvSpPr>
        <dsp:cNvPr id="0" name=""/>
        <dsp:cNvSpPr/>
      </dsp:nvSpPr>
      <dsp:spPr>
        <a:xfrm rot="20700000">
          <a:off x="1207446" y="113108"/>
          <a:ext cx="1006552" cy="1006552"/>
        </a:xfrm>
        <a:prstGeom prst="gear6">
          <a:avLst/>
        </a:prstGeom>
        <a:solidFill>
          <a:srgbClr val="18E1E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de-CH" sz="2000" kern="1200"/>
            <a:t>üK</a:t>
          </a:r>
        </a:p>
      </dsp:txBody>
      <dsp:txXfrm rot="-20700000">
        <a:off x="1428213" y="333875"/>
        <a:ext cx="565019" cy="565019"/>
      </dsp:txXfrm>
    </dsp:sp>
    <dsp:sp modelId="{AED305BB-5924-42BD-994D-1E74EA0CBB2E}">
      <dsp:nvSpPr>
        <dsp:cNvPr id="0" name=""/>
        <dsp:cNvSpPr/>
      </dsp:nvSpPr>
      <dsp:spPr>
        <a:xfrm>
          <a:off x="1328379" y="952008"/>
          <a:ext cx="1808062" cy="1808062"/>
        </a:xfrm>
        <a:prstGeom prst="circularArrow">
          <a:avLst>
            <a:gd name="adj1" fmla="val 4687"/>
            <a:gd name="adj2" fmla="val 299029"/>
            <a:gd name="adj3" fmla="val 2458283"/>
            <a:gd name="adj4" fmla="val 15992134"/>
            <a:gd name="adj5" fmla="val 5469"/>
          </a:avLst>
        </a:prstGeom>
        <a:solidFill>
          <a:srgbClr val="0070C0"/>
        </a:solidFill>
        <a:ln>
          <a:noFill/>
        </a:ln>
        <a:effectLst/>
      </dsp:spPr>
      <dsp:style>
        <a:lnRef idx="0">
          <a:scrgbClr r="0" g="0" b="0"/>
        </a:lnRef>
        <a:fillRef idx="1">
          <a:scrgbClr r="0" g="0" b="0"/>
        </a:fillRef>
        <a:effectRef idx="0">
          <a:scrgbClr r="0" g="0" b="0"/>
        </a:effectRef>
        <a:fontRef idx="minor">
          <a:schemeClr val="lt1"/>
        </a:fontRef>
      </dsp:style>
    </dsp:sp>
    <dsp:sp modelId="{70EC8C21-8E29-4A6A-8D7E-0534EC2F0BAE}">
      <dsp:nvSpPr>
        <dsp:cNvPr id="0" name=""/>
        <dsp:cNvSpPr/>
      </dsp:nvSpPr>
      <dsp:spPr>
        <a:xfrm>
          <a:off x="450114" y="601520"/>
          <a:ext cx="1313670" cy="1313670"/>
        </a:xfrm>
        <a:prstGeom prst="leftCircularArrow">
          <a:avLst>
            <a:gd name="adj1" fmla="val 6452"/>
            <a:gd name="adj2" fmla="val 429999"/>
            <a:gd name="adj3" fmla="val 10489124"/>
            <a:gd name="adj4" fmla="val 14837806"/>
            <a:gd name="adj5" fmla="val 7527"/>
          </a:avLst>
        </a:prstGeom>
        <a:solidFill>
          <a:srgbClr val="8B9BED"/>
        </a:solidFill>
        <a:ln>
          <a:noFill/>
        </a:ln>
        <a:effectLst/>
      </dsp:spPr>
      <dsp:style>
        <a:lnRef idx="0">
          <a:scrgbClr r="0" g="0" b="0"/>
        </a:lnRef>
        <a:fillRef idx="1">
          <a:scrgbClr r="0" g="0" b="0"/>
        </a:fillRef>
        <a:effectRef idx="0">
          <a:scrgbClr r="0" g="0" b="0"/>
        </a:effectRef>
        <a:fontRef idx="minor">
          <a:schemeClr val="lt1"/>
        </a:fontRef>
      </dsp:style>
    </dsp:sp>
    <dsp:sp modelId="{2A0841D8-69A7-4B05-BE02-79BDA05810B1}">
      <dsp:nvSpPr>
        <dsp:cNvPr id="0" name=""/>
        <dsp:cNvSpPr/>
      </dsp:nvSpPr>
      <dsp:spPr>
        <a:xfrm rot="14499132" flipH="1">
          <a:off x="974620" y="-100385"/>
          <a:ext cx="1416401" cy="1416401"/>
        </a:xfrm>
        <a:prstGeom prst="circularArrow">
          <a:avLst>
            <a:gd name="adj1" fmla="val 5984"/>
            <a:gd name="adj2" fmla="val 394124"/>
            <a:gd name="adj3" fmla="val 13313824"/>
            <a:gd name="adj4" fmla="val 10508221"/>
            <a:gd name="adj5" fmla="val 6981"/>
          </a:avLst>
        </a:prstGeom>
        <a:solidFill>
          <a:srgbClr val="18E1E6"/>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EAAC2-8BF2-4738-B25A-45FA0C8C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5269</Words>
  <Characters>33199</Characters>
  <Application>Microsoft Office Word</Application>
  <DocSecurity>0</DocSecurity>
  <Lines>276</Lines>
  <Paragraphs>76</Paragraphs>
  <ScaleCrop>false</ScaleCrop>
  <HeadingPairs>
    <vt:vector size="6" baseType="variant">
      <vt:variant>
        <vt:lpstr>Titel</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EVD</Company>
  <LinksUpToDate>false</LinksUpToDate>
  <CharactersWithSpaces>38392</CharactersWithSpaces>
  <SharedDoc>false</SharedDoc>
  <HLinks>
    <vt:vector size="150" baseType="variant">
      <vt:variant>
        <vt:i4>196700</vt:i4>
      </vt:variant>
      <vt:variant>
        <vt:i4>141</vt:i4>
      </vt:variant>
      <vt:variant>
        <vt:i4>0</vt:i4>
      </vt:variant>
      <vt:variant>
        <vt:i4>5</vt:i4>
      </vt:variant>
      <vt:variant>
        <vt:lpwstr>http://www.oda.berufsbildung.ch/</vt:lpwstr>
      </vt:variant>
      <vt:variant>
        <vt:lpwstr/>
      </vt:variant>
      <vt:variant>
        <vt:i4>2031707</vt:i4>
      </vt:variant>
      <vt:variant>
        <vt:i4>138</vt:i4>
      </vt:variant>
      <vt:variant>
        <vt:i4>0</vt:i4>
      </vt:variant>
      <vt:variant>
        <vt:i4>5</vt:i4>
      </vt:variant>
      <vt:variant>
        <vt:lpwstr>http://www.bundespublikationen.admin.ch/</vt:lpwstr>
      </vt:variant>
      <vt:variant>
        <vt:lpwstr/>
      </vt:variant>
      <vt:variant>
        <vt:i4>1900611</vt:i4>
      </vt:variant>
      <vt:variant>
        <vt:i4>135</vt:i4>
      </vt:variant>
      <vt:variant>
        <vt:i4>0</vt:i4>
      </vt:variant>
      <vt:variant>
        <vt:i4>5</vt:i4>
      </vt:variant>
      <vt:variant>
        <vt:lpwstr>http://www.bvz.admin.ch/</vt:lpwstr>
      </vt:variant>
      <vt:variant>
        <vt:lpwstr/>
      </vt:variant>
      <vt:variant>
        <vt:i4>1900598</vt:i4>
      </vt:variant>
      <vt:variant>
        <vt:i4>128</vt:i4>
      </vt:variant>
      <vt:variant>
        <vt:i4>0</vt:i4>
      </vt:variant>
      <vt:variant>
        <vt:i4>5</vt:i4>
      </vt:variant>
      <vt:variant>
        <vt:lpwstr/>
      </vt:variant>
      <vt:variant>
        <vt:lpwstr>_Toc506219416</vt:lpwstr>
      </vt:variant>
      <vt:variant>
        <vt:i4>1900598</vt:i4>
      </vt:variant>
      <vt:variant>
        <vt:i4>122</vt:i4>
      </vt:variant>
      <vt:variant>
        <vt:i4>0</vt:i4>
      </vt:variant>
      <vt:variant>
        <vt:i4>5</vt:i4>
      </vt:variant>
      <vt:variant>
        <vt:lpwstr/>
      </vt:variant>
      <vt:variant>
        <vt:lpwstr>_Toc506219415</vt:lpwstr>
      </vt:variant>
      <vt:variant>
        <vt:i4>1900598</vt:i4>
      </vt:variant>
      <vt:variant>
        <vt:i4>116</vt:i4>
      </vt:variant>
      <vt:variant>
        <vt:i4>0</vt:i4>
      </vt:variant>
      <vt:variant>
        <vt:i4>5</vt:i4>
      </vt:variant>
      <vt:variant>
        <vt:lpwstr/>
      </vt:variant>
      <vt:variant>
        <vt:lpwstr>_Toc506219414</vt:lpwstr>
      </vt:variant>
      <vt:variant>
        <vt:i4>1900598</vt:i4>
      </vt:variant>
      <vt:variant>
        <vt:i4>110</vt:i4>
      </vt:variant>
      <vt:variant>
        <vt:i4>0</vt:i4>
      </vt:variant>
      <vt:variant>
        <vt:i4>5</vt:i4>
      </vt:variant>
      <vt:variant>
        <vt:lpwstr/>
      </vt:variant>
      <vt:variant>
        <vt:lpwstr>_Toc506219413</vt:lpwstr>
      </vt:variant>
      <vt:variant>
        <vt:i4>1900598</vt:i4>
      </vt:variant>
      <vt:variant>
        <vt:i4>104</vt:i4>
      </vt:variant>
      <vt:variant>
        <vt:i4>0</vt:i4>
      </vt:variant>
      <vt:variant>
        <vt:i4>5</vt:i4>
      </vt:variant>
      <vt:variant>
        <vt:lpwstr/>
      </vt:variant>
      <vt:variant>
        <vt:lpwstr>_Toc506219412</vt:lpwstr>
      </vt:variant>
      <vt:variant>
        <vt:i4>1900598</vt:i4>
      </vt:variant>
      <vt:variant>
        <vt:i4>98</vt:i4>
      </vt:variant>
      <vt:variant>
        <vt:i4>0</vt:i4>
      </vt:variant>
      <vt:variant>
        <vt:i4>5</vt:i4>
      </vt:variant>
      <vt:variant>
        <vt:lpwstr/>
      </vt:variant>
      <vt:variant>
        <vt:lpwstr>_Toc506219411</vt:lpwstr>
      </vt:variant>
      <vt:variant>
        <vt:i4>1900598</vt:i4>
      </vt:variant>
      <vt:variant>
        <vt:i4>92</vt:i4>
      </vt:variant>
      <vt:variant>
        <vt:i4>0</vt:i4>
      </vt:variant>
      <vt:variant>
        <vt:i4>5</vt:i4>
      </vt:variant>
      <vt:variant>
        <vt:lpwstr/>
      </vt:variant>
      <vt:variant>
        <vt:lpwstr>_Toc506219410</vt:lpwstr>
      </vt:variant>
      <vt:variant>
        <vt:i4>1835062</vt:i4>
      </vt:variant>
      <vt:variant>
        <vt:i4>86</vt:i4>
      </vt:variant>
      <vt:variant>
        <vt:i4>0</vt:i4>
      </vt:variant>
      <vt:variant>
        <vt:i4>5</vt:i4>
      </vt:variant>
      <vt:variant>
        <vt:lpwstr/>
      </vt:variant>
      <vt:variant>
        <vt:lpwstr>_Toc506219409</vt:lpwstr>
      </vt:variant>
      <vt:variant>
        <vt:i4>1835062</vt:i4>
      </vt:variant>
      <vt:variant>
        <vt:i4>80</vt:i4>
      </vt:variant>
      <vt:variant>
        <vt:i4>0</vt:i4>
      </vt:variant>
      <vt:variant>
        <vt:i4>5</vt:i4>
      </vt:variant>
      <vt:variant>
        <vt:lpwstr/>
      </vt:variant>
      <vt:variant>
        <vt:lpwstr>_Toc506219408</vt:lpwstr>
      </vt:variant>
      <vt:variant>
        <vt:i4>1835062</vt:i4>
      </vt:variant>
      <vt:variant>
        <vt:i4>74</vt:i4>
      </vt:variant>
      <vt:variant>
        <vt:i4>0</vt:i4>
      </vt:variant>
      <vt:variant>
        <vt:i4>5</vt:i4>
      </vt:variant>
      <vt:variant>
        <vt:lpwstr/>
      </vt:variant>
      <vt:variant>
        <vt:lpwstr>_Toc506219407</vt:lpwstr>
      </vt:variant>
      <vt:variant>
        <vt:i4>1835062</vt:i4>
      </vt:variant>
      <vt:variant>
        <vt:i4>68</vt:i4>
      </vt:variant>
      <vt:variant>
        <vt:i4>0</vt:i4>
      </vt:variant>
      <vt:variant>
        <vt:i4>5</vt:i4>
      </vt:variant>
      <vt:variant>
        <vt:lpwstr/>
      </vt:variant>
      <vt:variant>
        <vt:lpwstr>_Toc506219406</vt:lpwstr>
      </vt:variant>
      <vt:variant>
        <vt:i4>1835062</vt:i4>
      </vt:variant>
      <vt:variant>
        <vt:i4>62</vt:i4>
      </vt:variant>
      <vt:variant>
        <vt:i4>0</vt:i4>
      </vt:variant>
      <vt:variant>
        <vt:i4>5</vt:i4>
      </vt:variant>
      <vt:variant>
        <vt:lpwstr/>
      </vt:variant>
      <vt:variant>
        <vt:lpwstr>_Toc506219405</vt:lpwstr>
      </vt:variant>
      <vt:variant>
        <vt:i4>1835062</vt:i4>
      </vt:variant>
      <vt:variant>
        <vt:i4>56</vt:i4>
      </vt:variant>
      <vt:variant>
        <vt:i4>0</vt:i4>
      </vt:variant>
      <vt:variant>
        <vt:i4>5</vt:i4>
      </vt:variant>
      <vt:variant>
        <vt:lpwstr/>
      </vt:variant>
      <vt:variant>
        <vt:lpwstr>_Toc506219404</vt:lpwstr>
      </vt:variant>
      <vt:variant>
        <vt:i4>1835062</vt:i4>
      </vt:variant>
      <vt:variant>
        <vt:i4>50</vt:i4>
      </vt:variant>
      <vt:variant>
        <vt:i4>0</vt:i4>
      </vt:variant>
      <vt:variant>
        <vt:i4>5</vt:i4>
      </vt:variant>
      <vt:variant>
        <vt:lpwstr/>
      </vt:variant>
      <vt:variant>
        <vt:lpwstr>_Toc506219403</vt:lpwstr>
      </vt:variant>
      <vt:variant>
        <vt:i4>1835062</vt:i4>
      </vt:variant>
      <vt:variant>
        <vt:i4>44</vt:i4>
      </vt:variant>
      <vt:variant>
        <vt:i4>0</vt:i4>
      </vt:variant>
      <vt:variant>
        <vt:i4>5</vt:i4>
      </vt:variant>
      <vt:variant>
        <vt:lpwstr/>
      </vt:variant>
      <vt:variant>
        <vt:lpwstr>_Toc506219402</vt:lpwstr>
      </vt:variant>
      <vt:variant>
        <vt:i4>1835062</vt:i4>
      </vt:variant>
      <vt:variant>
        <vt:i4>38</vt:i4>
      </vt:variant>
      <vt:variant>
        <vt:i4>0</vt:i4>
      </vt:variant>
      <vt:variant>
        <vt:i4>5</vt:i4>
      </vt:variant>
      <vt:variant>
        <vt:lpwstr/>
      </vt:variant>
      <vt:variant>
        <vt:lpwstr>_Toc506219401</vt:lpwstr>
      </vt:variant>
      <vt:variant>
        <vt:i4>1835062</vt:i4>
      </vt:variant>
      <vt:variant>
        <vt:i4>32</vt:i4>
      </vt:variant>
      <vt:variant>
        <vt:i4>0</vt:i4>
      </vt:variant>
      <vt:variant>
        <vt:i4>5</vt:i4>
      </vt:variant>
      <vt:variant>
        <vt:lpwstr/>
      </vt:variant>
      <vt:variant>
        <vt:lpwstr>_Toc506219400</vt:lpwstr>
      </vt:variant>
      <vt:variant>
        <vt:i4>1376305</vt:i4>
      </vt:variant>
      <vt:variant>
        <vt:i4>26</vt:i4>
      </vt:variant>
      <vt:variant>
        <vt:i4>0</vt:i4>
      </vt:variant>
      <vt:variant>
        <vt:i4>5</vt:i4>
      </vt:variant>
      <vt:variant>
        <vt:lpwstr/>
      </vt:variant>
      <vt:variant>
        <vt:lpwstr>_Toc506219399</vt:lpwstr>
      </vt:variant>
      <vt:variant>
        <vt:i4>1376305</vt:i4>
      </vt:variant>
      <vt:variant>
        <vt:i4>20</vt:i4>
      </vt:variant>
      <vt:variant>
        <vt:i4>0</vt:i4>
      </vt:variant>
      <vt:variant>
        <vt:i4>5</vt:i4>
      </vt:variant>
      <vt:variant>
        <vt:lpwstr/>
      </vt:variant>
      <vt:variant>
        <vt:lpwstr>_Toc506219398</vt:lpwstr>
      </vt:variant>
      <vt:variant>
        <vt:i4>1376305</vt:i4>
      </vt:variant>
      <vt:variant>
        <vt:i4>14</vt:i4>
      </vt:variant>
      <vt:variant>
        <vt:i4>0</vt:i4>
      </vt:variant>
      <vt:variant>
        <vt:i4>5</vt:i4>
      </vt:variant>
      <vt:variant>
        <vt:lpwstr/>
      </vt:variant>
      <vt:variant>
        <vt:lpwstr>_Toc506219397</vt:lpwstr>
      </vt:variant>
      <vt:variant>
        <vt:i4>1376305</vt:i4>
      </vt:variant>
      <vt:variant>
        <vt:i4>8</vt:i4>
      </vt:variant>
      <vt:variant>
        <vt:i4>0</vt:i4>
      </vt:variant>
      <vt:variant>
        <vt:i4>5</vt:i4>
      </vt:variant>
      <vt:variant>
        <vt:lpwstr/>
      </vt:variant>
      <vt:variant>
        <vt:lpwstr>_Toc506219396</vt:lpwstr>
      </vt:variant>
      <vt:variant>
        <vt:i4>1376305</vt:i4>
      </vt:variant>
      <vt:variant>
        <vt:i4>2</vt:i4>
      </vt:variant>
      <vt:variant>
        <vt:i4>0</vt:i4>
      </vt:variant>
      <vt:variant>
        <vt:i4>5</vt:i4>
      </vt:variant>
      <vt:variant>
        <vt:lpwstr/>
      </vt:variant>
      <vt:variant>
        <vt:lpwstr>_Toc506219395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Rosenkranz</dc:creator>
  <cp:keywords/>
  <cp:lastModifiedBy>Wyss Philippe SBFI</cp:lastModifiedBy>
  <cp:revision>65</cp:revision>
  <cp:lastPrinted>2023-08-14T10:47:00Z</cp:lastPrinted>
  <dcterms:created xsi:type="dcterms:W3CDTF">2022-03-31T15:18:00Z</dcterms:created>
  <dcterms:modified xsi:type="dcterms:W3CDTF">2023-08-23T11:53:00Z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2</vt:lpwstr>
  </property>
  <property fmtid="{D5CDD505-2E9C-101B-9397-08002B2CF9AE}" pid="11" name="FSC#EVDCFG@15.1400:ActualVersionCreatedAt">
    <vt:lpwstr>2018-08-28T14:16:13</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EVDCFG@15.1400:UserInChargeUserTitle">
    <vt:lpwstr/>
  </property>
  <property fmtid="{D5CDD505-2E9C-101B-9397-08002B2CF9AE}" pid="17" name="FSC#EVDCFG@15.1400:UserInChargeUserName">
    <vt:lpwstr>Trachsel</vt:lpwstr>
  </property>
  <property fmtid="{D5CDD505-2E9C-101B-9397-08002B2CF9AE}" pid="18" name="FSC#EVDCFG@15.1400:UserInChargeUserFirstname">
    <vt:lpwstr/>
  </property>
  <property fmtid="{D5CDD505-2E9C-101B-9397-08002B2CF9AE}" pid="19" name="FSC#EVDCFG@15.1400:UserInChargeUserEnvSalutationDE">
    <vt:lpwstr>Projektverantwortlicher_x000d_
Responsable de projet_x000d_
Responsabile di progetto</vt:lpwstr>
  </property>
  <property fmtid="{D5CDD505-2E9C-101B-9397-08002B2CF9AE}" pid="20" name="FSC#EVDCFG@15.1400:UserInChargeUserEnvSalutationEN">
    <vt:lpwstr/>
  </property>
  <property fmtid="{D5CDD505-2E9C-101B-9397-08002B2CF9AE}" pid="21" name="FSC#EVDCFG@15.1400:UserInChargeUserEnvSalutationFR">
    <vt:lpwstr/>
  </property>
  <property fmtid="{D5CDD505-2E9C-101B-9397-08002B2CF9AE}" pid="22" name="FSC#EVDCFG@15.1400:UserInChargeUserEnvSalutationIT">
    <vt:lpwstr/>
  </property>
  <property fmtid="{D5CDD505-2E9C-101B-9397-08002B2CF9AE}" pid="23" name="FSC#EVDCFG@15.1400:FilerespUserPersonTitle">
    <vt:lpwstr>SBFI </vt:lpwstr>
  </property>
  <property fmtid="{D5CDD505-2E9C-101B-9397-08002B2CF9AE}" pid="24" name="FSC#EVDCFG@15.1400:Address">
    <vt:lpwstr/>
  </property>
  <property fmtid="{D5CDD505-2E9C-101B-9397-08002B2CF9AE}" pid="25" name="FSC#COOSYSTEM@1.1:Container">
    <vt:lpwstr>COO.2101.108.7.662954</vt:lpwstr>
  </property>
  <property fmtid="{D5CDD505-2E9C-101B-9397-08002B2CF9AE}" pid="26" name="FSC#COOELAK@1.1001:Subject">
    <vt:lpwstr/>
  </property>
  <property fmtid="{D5CDD505-2E9C-101B-9397-08002B2CF9AE}" pid="27" name="FSC#COOELAK@1.1001:FileReference">
    <vt:lpwstr>312.01-00001</vt:lpwstr>
  </property>
  <property fmtid="{D5CDD505-2E9C-101B-9397-08002B2CF9AE}" pid="28" name="FSC#COOELAK@1.1001:FileRefYear">
    <vt:lpwstr>2015</vt:lpwstr>
  </property>
  <property fmtid="{D5CDD505-2E9C-101B-9397-08002B2CF9AE}" pid="29" name="FSC#COOELAK@1.1001:FileRefOrdinal">
    <vt:lpwstr>1</vt:lpwstr>
  </property>
  <property fmtid="{D5CDD505-2E9C-101B-9397-08002B2CF9AE}" pid="30" name="FSC#COOELAK@1.1001:FileRefOU">
    <vt:lpwstr>BGB / SBFI</vt:lpwstr>
  </property>
  <property fmtid="{D5CDD505-2E9C-101B-9397-08002B2CF9AE}" pid="31" name="FSC#COOELAK@1.1001:Organization">
    <vt:lpwstr/>
  </property>
  <property fmtid="{D5CDD505-2E9C-101B-9397-08002B2CF9AE}" pid="32" name="FSC#COOELAK@1.1001:Owner">
    <vt:lpwstr>Wyss Philippe, SBFI </vt:lpwstr>
  </property>
  <property fmtid="{D5CDD505-2E9C-101B-9397-08002B2CF9AE}" pid="33" name="FSC#COOELAK@1.1001:OwnerExtension">
    <vt:lpwstr>+41 58 463 44 52</vt:lpwstr>
  </property>
  <property fmtid="{D5CDD505-2E9C-101B-9397-08002B2CF9AE}" pid="34" name="FSC#COOELAK@1.1001:OwnerFaxExtension">
    <vt:lpwstr>+41 58 464 96 14</vt:lpwstr>
  </property>
  <property fmtid="{D5CDD505-2E9C-101B-9397-08002B2CF9AE}" pid="35" name="FSC#COOELAK@1.1001:DispatchedBy">
    <vt:lpwstr/>
  </property>
  <property fmtid="{D5CDD505-2E9C-101B-9397-08002B2CF9AE}" pid="36" name="FSC#COOELAK@1.1001:DispatchedAt">
    <vt:lpwstr/>
  </property>
  <property fmtid="{D5CDD505-2E9C-101B-9397-08002B2CF9AE}" pid="37" name="FSC#COOELAK@1.1001:ApprovedBy">
    <vt:lpwstr/>
  </property>
  <property fmtid="{D5CDD505-2E9C-101B-9397-08002B2CF9AE}" pid="38" name="FSC#COOELAK@1.1001:ApprovedAt">
    <vt:lpwstr/>
  </property>
  <property fmtid="{D5CDD505-2E9C-101B-9397-08002B2CF9AE}" pid="39" name="FSC#COOELAK@1.1001:Department">
    <vt:lpwstr>Formation professionnelle initiale (BGB / SBFI)</vt:lpwstr>
  </property>
  <property fmtid="{D5CDD505-2E9C-101B-9397-08002B2CF9AE}" pid="40" name="FSC#COOELAK@1.1001:CreatedAt">
    <vt:lpwstr>11.07.2018</vt:lpwstr>
  </property>
  <property fmtid="{D5CDD505-2E9C-101B-9397-08002B2CF9AE}" pid="41" name="FSC#COOELAK@1.1001:OU">
    <vt:lpwstr>Formation professionnelle initiale (BGB / SBFI)</vt:lpwstr>
  </property>
  <property fmtid="{D5CDD505-2E9C-101B-9397-08002B2CF9AE}" pid="42" name="FSC#COOELAK@1.1001:Priority">
    <vt:lpwstr> ()</vt:lpwstr>
  </property>
  <property fmtid="{D5CDD505-2E9C-101B-9397-08002B2CF9AE}" pid="43" name="FSC#COOELAK@1.1001:ObjBarCode">
    <vt:lpwstr>*COO.2101.108.7.662954*</vt:lpwstr>
  </property>
  <property fmtid="{D5CDD505-2E9C-101B-9397-08002B2CF9AE}" pid="44" name="FSC#COOELAK@1.1001:RefBarCode">
    <vt:lpwstr>*COO.2101.108.7.480097*</vt:lpwstr>
  </property>
  <property fmtid="{D5CDD505-2E9C-101B-9397-08002B2CF9AE}" pid="45" name="FSC#COOELAK@1.1001:FileRefBarCode">
    <vt:lpwstr>*312.01-00001*</vt:lpwstr>
  </property>
  <property fmtid="{D5CDD505-2E9C-101B-9397-08002B2CF9AE}" pid="46" name="FSC#COOELAK@1.1001:ExternalRef">
    <vt:lpwstr/>
  </property>
  <property fmtid="{D5CDD505-2E9C-101B-9397-08002B2CF9AE}" pid="47" name="FSC#COOELAK@1.1001:IncomingNumber">
    <vt:lpwstr/>
  </property>
  <property fmtid="{D5CDD505-2E9C-101B-9397-08002B2CF9AE}" pid="48" name="FSC#COOELAK@1.1001:IncomingSubject">
    <vt:lpwstr/>
  </property>
  <property fmtid="{D5CDD505-2E9C-101B-9397-08002B2CF9AE}" pid="49" name="FSC#COOELAK@1.1001:ProcessResponsible">
    <vt:lpwstr/>
  </property>
  <property fmtid="{D5CDD505-2E9C-101B-9397-08002B2CF9AE}" pid="50" name="FSC#COOELAK@1.1001:ProcessResponsiblePhone">
    <vt:lpwstr/>
  </property>
  <property fmtid="{D5CDD505-2E9C-101B-9397-08002B2CF9AE}" pid="51" name="FSC#COOELAK@1.1001:ProcessResponsibleMail">
    <vt:lpwstr/>
  </property>
  <property fmtid="{D5CDD505-2E9C-101B-9397-08002B2CF9AE}" pid="52" name="FSC#COOELAK@1.1001:ProcessResponsibleFax">
    <vt:lpwstr/>
  </property>
  <property fmtid="{D5CDD505-2E9C-101B-9397-08002B2CF9AE}" pid="53" name="FSC#COOELAK@1.1001:ApproverFirstName">
    <vt:lpwstr/>
  </property>
  <property fmtid="{D5CDD505-2E9C-101B-9397-08002B2CF9AE}" pid="54" name="FSC#COOELAK@1.1001:ApproverSurName">
    <vt:lpwstr/>
  </property>
  <property fmtid="{D5CDD505-2E9C-101B-9397-08002B2CF9AE}" pid="55" name="FSC#COOELAK@1.1001:ApproverTitle">
    <vt:lpwstr/>
  </property>
  <property fmtid="{D5CDD505-2E9C-101B-9397-08002B2CF9AE}" pid="56" name="FSC#COOELAK@1.1001:ExternalDate">
    <vt:lpwstr/>
  </property>
  <property fmtid="{D5CDD505-2E9C-101B-9397-08002B2CF9AE}" pid="57" name="FSC#COOELAK@1.1001:SettlementApprovedAt">
    <vt:lpwstr/>
  </property>
  <property fmtid="{D5CDD505-2E9C-101B-9397-08002B2CF9AE}" pid="58" name="FSC#COOELAK@1.1001:BaseNumber">
    <vt:lpwstr>312.01</vt:lpwstr>
  </property>
  <property fmtid="{D5CDD505-2E9C-101B-9397-08002B2CF9AE}" pid="59" name="FSC#COOELAK@1.1001:CurrentUserRolePos">
    <vt:lpwstr>Spécialiste</vt:lpwstr>
  </property>
  <property fmtid="{D5CDD505-2E9C-101B-9397-08002B2CF9AE}" pid="60" name="FSC#COOELAK@1.1001:CurrentUserEmail">
    <vt:lpwstr>odile.fahmy@sbfi.admin.ch</vt:lpwstr>
  </property>
  <property fmtid="{D5CDD505-2E9C-101B-9397-08002B2CF9AE}" pid="61" name="FSC#ELAKGOV@1.1001:PersonalSubjGender">
    <vt:lpwstr/>
  </property>
  <property fmtid="{D5CDD505-2E9C-101B-9397-08002B2CF9AE}" pid="62" name="FSC#ELAKGOV@1.1001:PersonalSubjFirstName">
    <vt:lpwstr/>
  </property>
  <property fmtid="{D5CDD505-2E9C-101B-9397-08002B2CF9AE}" pid="63" name="FSC#ELAKGOV@1.1001:PersonalSubjSurName">
    <vt:lpwstr/>
  </property>
  <property fmtid="{D5CDD505-2E9C-101B-9397-08002B2CF9AE}" pid="64" name="FSC#ELAKGOV@1.1001:PersonalSubjSalutation">
    <vt:lpwstr/>
  </property>
  <property fmtid="{D5CDD505-2E9C-101B-9397-08002B2CF9AE}" pid="65" name="FSC#ELAKGOV@1.1001:PersonalSubjAddress">
    <vt:lpwstr/>
  </property>
  <property fmtid="{D5CDD505-2E9C-101B-9397-08002B2CF9AE}" pid="66" name="FSC#EVDCFG@15.1400:PositionNumber">
    <vt:lpwstr/>
  </property>
  <property fmtid="{D5CDD505-2E9C-101B-9397-08002B2CF9AE}" pid="67" name="FSC#EVDCFG@15.1400:Dossierref">
    <vt:lpwstr>312.01-00001</vt:lpwstr>
  </property>
  <property fmtid="{D5CDD505-2E9C-101B-9397-08002B2CF9AE}" pid="68" name="FSC#EVDCFG@15.1400:FileRespEmail">
    <vt:lpwstr>reto.trachsel@sbfi.admin.ch</vt:lpwstr>
  </property>
  <property fmtid="{D5CDD505-2E9C-101B-9397-08002B2CF9AE}" pid="69" name="FSC#EVDCFG@15.1400:FileRespFax">
    <vt:lpwstr>+41 58 464 96 14</vt:lpwstr>
  </property>
  <property fmtid="{D5CDD505-2E9C-101B-9397-08002B2CF9AE}" pid="70" name="FSC#EVDCFG@15.1400:FileRespHome">
    <vt:lpwstr>Bern</vt:lpwstr>
  </property>
  <property fmtid="{D5CDD505-2E9C-101B-9397-08002B2CF9AE}" pid="71" name="FSC#EVDCFG@15.1400:FileResponsible">
    <vt:lpwstr>Reto Trachsel</vt:lpwstr>
  </property>
  <property fmtid="{D5CDD505-2E9C-101B-9397-08002B2CF9AE}" pid="72" name="FSC#EVDCFG@15.1400:UserInCharge">
    <vt:lpwstr/>
  </property>
  <property fmtid="{D5CDD505-2E9C-101B-9397-08002B2CF9AE}" pid="73" name="FSC#EVDCFG@15.1400:FileRespOrg">
    <vt:lpwstr/>
  </property>
  <property fmtid="{D5CDD505-2E9C-101B-9397-08002B2CF9AE}" pid="74" name="FSC#EVDCFG@15.1400:FileRespOrgHome">
    <vt:lpwstr>Bern</vt:lpwstr>
  </property>
  <property fmtid="{D5CDD505-2E9C-101B-9397-08002B2CF9AE}" pid="75" name="FSC#EVDCFG@15.1400:FileRespOrgStreet">
    <vt:lpwstr>Effingerstrasse 27</vt:lpwstr>
  </property>
  <property fmtid="{D5CDD505-2E9C-101B-9397-08002B2CF9AE}" pid="76" name="FSC#EVDCFG@15.1400:FileRespOrgZipCode">
    <vt:lpwstr>3003</vt:lpwstr>
  </property>
  <property fmtid="{D5CDD505-2E9C-101B-9397-08002B2CF9AE}" pid="77" name="FSC#EVDCFG@15.1400:FileRespshortsign">
    <vt:lpwstr>trr</vt:lpwstr>
  </property>
  <property fmtid="{D5CDD505-2E9C-101B-9397-08002B2CF9AE}" pid="78" name="FSC#EVDCFG@15.1400:FileRespStreet">
    <vt:lpwstr>Einsteinstrasse 2</vt:lpwstr>
  </property>
  <property fmtid="{D5CDD505-2E9C-101B-9397-08002B2CF9AE}" pid="79" name="FSC#EVDCFG@15.1400:FileRespTel">
    <vt:lpwstr>+41 58 464 64 07</vt:lpwstr>
  </property>
  <property fmtid="{D5CDD505-2E9C-101B-9397-08002B2CF9AE}" pid="80" name="FSC#EVDCFG@15.1400:FileRespZipCode">
    <vt:lpwstr>3003</vt:lpwstr>
  </property>
  <property fmtid="{D5CDD505-2E9C-101B-9397-08002B2CF9AE}" pid="81" name="FSC#EVDCFG@15.1400:OutAttachElectr">
    <vt:lpwstr/>
  </property>
  <property fmtid="{D5CDD505-2E9C-101B-9397-08002B2CF9AE}" pid="82" name="FSC#EVDCFG@15.1400:OutAttachPhysic">
    <vt:lpwstr/>
  </property>
  <property fmtid="{D5CDD505-2E9C-101B-9397-08002B2CF9AE}" pid="83" name="FSC#EVDCFG@15.1400:SignAcceptedDraft1">
    <vt:lpwstr/>
  </property>
  <property fmtid="{D5CDD505-2E9C-101B-9397-08002B2CF9AE}" pid="84" name="FSC#EVDCFG@15.1400:SignAcceptedDraft1FR">
    <vt:lpwstr/>
  </property>
  <property fmtid="{D5CDD505-2E9C-101B-9397-08002B2CF9AE}" pid="85" name="FSC#EVDCFG@15.1400:SignAcceptedDraft2">
    <vt:lpwstr/>
  </property>
  <property fmtid="{D5CDD505-2E9C-101B-9397-08002B2CF9AE}" pid="86" name="FSC#EVDCFG@15.1400:SignAcceptedDraft2FR">
    <vt:lpwstr/>
  </property>
  <property fmtid="{D5CDD505-2E9C-101B-9397-08002B2CF9AE}" pid="87" name="FSC#EVDCFG@15.1400:SignApproved1">
    <vt:lpwstr/>
  </property>
  <property fmtid="{D5CDD505-2E9C-101B-9397-08002B2CF9AE}" pid="88" name="FSC#EVDCFG@15.1400:SignApproved1FR">
    <vt:lpwstr/>
  </property>
  <property fmtid="{D5CDD505-2E9C-101B-9397-08002B2CF9AE}" pid="89" name="FSC#EVDCFG@15.1400:SignApproved2">
    <vt:lpwstr/>
  </property>
  <property fmtid="{D5CDD505-2E9C-101B-9397-08002B2CF9AE}" pid="90" name="FSC#EVDCFG@15.1400:SignApproved2FR">
    <vt:lpwstr/>
  </property>
  <property fmtid="{D5CDD505-2E9C-101B-9397-08002B2CF9AE}" pid="91" name="FSC#EVDCFG@15.1400:SubDossierBarCode">
    <vt:lpwstr/>
  </property>
  <property fmtid="{D5CDD505-2E9C-101B-9397-08002B2CF9AE}" pid="92" name="FSC#EVDCFG@15.1400:Subject">
    <vt:lpwstr/>
  </property>
  <property fmtid="{D5CDD505-2E9C-101B-9397-08002B2CF9AE}" pid="93" name="FSC#EVDCFG@15.1400:Title">
    <vt:lpwstr>d_R_18-2_Leitvorlage_BiPla</vt:lpwstr>
  </property>
  <property fmtid="{D5CDD505-2E9C-101B-9397-08002B2CF9AE}" pid="94" name="FSC#EVDCFG@15.1400:UserFunction">
    <vt:lpwstr>Sachbearbeiter/in - BGB / SBFI</vt:lpwstr>
  </property>
  <property fmtid="{D5CDD505-2E9C-101B-9397-08002B2CF9AE}" pid="95" name="FSC#EVDCFG@15.1400:SalutationEnglish">
    <vt:lpwstr>Vocational Education and Training </vt:lpwstr>
  </property>
  <property fmtid="{D5CDD505-2E9C-101B-9397-08002B2CF9AE}" pid="96" name="FSC#EVDCFG@15.1400:SalutationFrench">
    <vt:lpwstr/>
  </property>
  <property fmtid="{D5CDD505-2E9C-101B-9397-08002B2CF9AE}" pid="97" name="FSC#EVDCFG@15.1400:SalutationGerman">
    <vt:lpwstr/>
  </property>
  <property fmtid="{D5CDD505-2E9C-101B-9397-08002B2CF9AE}" pid="98" name="FSC#EVDCFG@15.1400:SalutationItalian">
    <vt:lpwstr/>
  </property>
  <property fmtid="{D5CDD505-2E9C-101B-9397-08002B2CF9AE}" pid="99" name="FSC#EVDCFG@15.1400:SalutationEnglishUser">
    <vt:lpwstr/>
  </property>
  <property fmtid="{D5CDD505-2E9C-101B-9397-08002B2CF9AE}" pid="100" name="FSC#EVDCFG@15.1400:SalutationFrenchUser">
    <vt:lpwstr>Responsable de projet</vt:lpwstr>
  </property>
  <property fmtid="{D5CDD505-2E9C-101B-9397-08002B2CF9AE}" pid="101" name="FSC#EVDCFG@15.1400:SalutationGermanUser">
    <vt:lpwstr>Projektverantwortlicher</vt:lpwstr>
  </property>
  <property fmtid="{D5CDD505-2E9C-101B-9397-08002B2CF9AE}" pid="102" name="FSC#EVDCFG@15.1400:SalutationItalianUser">
    <vt:lpwstr>Responsabile di progetto</vt:lpwstr>
  </property>
  <property fmtid="{D5CDD505-2E9C-101B-9397-08002B2CF9AE}" pid="103" name="FSC#EVDCFG@15.1400:FileRespOrgShortname">
    <vt:lpwstr>BGB / SBFI</vt:lpwstr>
  </property>
  <property fmtid="{D5CDD505-2E9C-101B-9397-08002B2CF9AE}" pid="104" name="FSC#EVDCFG@15.1400:ResponsibleEditorFirstname">
    <vt:lpwstr>Reto</vt:lpwstr>
  </property>
  <property fmtid="{D5CDD505-2E9C-101B-9397-08002B2CF9AE}" pid="105" name="FSC#EVDCFG@15.1400:ResponsibleEditorSurname">
    <vt:lpwstr>Trachsel</vt:lpwstr>
  </property>
  <property fmtid="{D5CDD505-2E9C-101B-9397-08002B2CF9AE}" pid="106" name="FSC#EVDCFG@15.1400:GroupTitle">
    <vt:lpwstr>Formation professionnelle initiale</vt:lpwstr>
  </property>
  <property fmtid="{D5CDD505-2E9C-101B-9397-08002B2CF9AE}" pid="107" name="FSC#ATSTATECFG@1.1001:Office">
    <vt:lpwstr/>
  </property>
  <property fmtid="{D5CDD505-2E9C-101B-9397-08002B2CF9AE}" pid="108" name="FSC#ATSTATECFG@1.1001:Agent">
    <vt:lpwstr>SBFI  Reto Trachsel</vt:lpwstr>
  </property>
  <property fmtid="{D5CDD505-2E9C-101B-9397-08002B2CF9AE}" pid="109" name="FSC#ATSTATECFG@1.1001:AgentPhone">
    <vt:lpwstr>+41 58 464 64 07</vt:lpwstr>
  </property>
  <property fmtid="{D5CDD505-2E9C-101B-9397-08002B2CF9AE}" pid="110" name="FSC#ATSTATECFG@1.1001:DepartmentFax">
    <vt:lpwstr>+41 31 324 96 15</vt:lpwstr>
  </property>
  <property fmtid="{D5CDD505-2E9C-101B-9397-08002B2CF9AE}" pid="111" name="FSC#ATSTATECFG@1.1001:DepartmentEmail">
    <vt:lpwstr>info@bbt.admin.ch</vt:lpwstr>
  </property>
  <property fmtid="{D5CDD505-2E9C-101B-9397-08002B2CF9AE}" pid="112" name="FSC#ATSTATECFG@1.1001:SubfileDate">
    <vt:lpwstr/>
  </property>
  <property fmtid="{D5CDD505-2E9C-101B-9397-08002B2CF9AE}" pid="113" name="FSC#ATSTATECFG@1.1001:SubfileSubject">
    <vt:lpwstr/>
  </property>
  <property fmtid="{D5CDD505-2E9C-101B-9397-08002B2CF9AE}" pid="114" name="FSC#ATSTATECFG@1.1001:DepartmentZipCode">
    <vt:lpwstr>3003</vt:lpwstr>
  </property>
  <property fmtid="{D5CDD505-2E9C-101B-9397-08002B2CF9AE}" pid="115" name="FSC#ATSTATECFG@1.1001:DepartmentCountry">
    <vt:lpwstr/>
  </property>
  <property fmtid="{D5CDD505-2E9C-101B-9397-08002B2CF9AE}" pid="116" name="FSC#ATSTATECFG@1.1001:DepartmentCity">
    <vt:lpwstr>Bern</vt:lpwstr>
  </property>
  <property fmtid="{D5CDD505-2E9C-101B-9397-08002B2CF9AE}" pid="117" name="FSC#ATSTATECFG@1.1001:DepartmentStreet">
    <vt:lpwstr>Effingerstrasse 27</vt:lpwstr>
  </property>
  <property fmtid="{D5CDD505-2E9C-101B-9397-08002B2CF9AE}" pid="118" name="FSC#ATSTATECFG@1.1001:DepartmentDVR">
    <vt:lpwstr/>
  </property>
  <property fmtid="{D5CDD505-2E9C-101B-9397-08002B2CF9AE}" pid="119" name="FSC#ATSTATECFG@1.1001:DepartmentUID">
    <vt:lpwstr/>
  </property>
  <property fmtid="{D5CDD505-2E9C-101B-9397-08002B2CF9AE}" pid="120" name="FSC#ATSTATECFG@1.1001:SubfileReference">
    <vt:lpwstr>312.01-00001/00002/00004/00001</vt:lpwstr>
  </property>
  <property fmtid="{D5CDD505-2E9C-101B-9397-08002B2CF9AE}" pid="121" name="FSC#ATSTATECFG@1.1001:Clause">
    <vt:lpwstr/>
  </property>
  <property fmtid="{D5CDD505-2E9C-101B-9397-08002B2CF9AE}" pid="122" name="FSC#ATSTATECFG@1.1001:ApprovedSignature">
    <vt:lpwstr/>
  </property>
  <property fmtid="{D5CDD505-2E9C-101B-9397-08002B2CF9AE}" pid="123" name="FSC#ATSTATECFG@1.1001:BankAccount">
    <vt:lpwstr/>
  </property>
  <property fmtid="{D5CDD505-2E9C-101B-9397-08002B2CF9AE}" pid="124" name="FSC#ATSTATECFG@1.1001:BankAccountOwner">
    <vt:lpwstr/>
  </property>
  <property fmtid="{D5CDD505-2E9C-101B-9397-08002B2CF9AE}" pid="125" name="FSC#ATSTATECFG@1.1001:BankInstitute">
    <vt:lpwstr/>
  </property>
  <property fmtid="{D5CDD505-2E9C-101B-9397-08002B2CF9AE}" pid="126" name="FSC#ATSTATECFG@1.1001:BankAccountID">
    <vt:lpwstr/>
  </property>
  <property fmtid="{D5CDD505-2E9C-101B-9397-08002B2CF9AE}" pid="127" name="FSC#ATSTATECFG@1.1001:BankAccountIBAN">
    <vt:lpwstr/>
  </property>
  <property fmtid="{D5CDD505-2E9C-101B-9397-08002B2CF9AE}" pid="128" name="FSC#ATSTATECFG@1.1001:BankAccountBIC">
    <vt:lpwstr/>
  </property>
  <property fmtid="{D5CDD505-2E9C-101B-9397-08002B2CF9AE}" pid="129" name="FSC#ATSTATECFG@1.1001:BankName">
    <vt:lpwstr/>
  </property>
  <property fmtid="{D5CDD505-2E9C-101B-9397-08002B2CF9AE}" pid="130" name="FSC#CCAPRECONFIG@15.1001:AddrAnrede">
    <vt:lpwstr/>
  </property>
  <property fmtid="{D5CDD505-2E9C-101B-9397-08002B2CF9AE}" pid="131" name="FSC#CCAPRECONFIG@15.1001:AddrTitel">
    <vt:lpwstr/>
  </property>
  <property fmtid="{D5CDD505-2E9C-101B-9397-08002B2CF9AE}" pid="132" name="FSC#CCAPRECONFIG@15.1001:AddrNachgestellter_Titel">
    <vt:lpwstr/>
  </property>
  <property fmtid="{D5CDD505-2E9C-101B-9397-08002B2CF9AE}" pid="133" name="FSC#CCAPRECONFIG@15.1001:AddrVorname">
    <vt:lpwstr/>
  </property>
  <property fmtid="{D5CDD505-2E9C-101B-9397-08002B2CF9AE}" pid="134" name="FSC#CCAPRECONFIG@15.1001:AddrNachname">
    <vt:lpwstr/>
  </property>
  <property fmtid="{D5CDD505-2E9C-101B-9397-08002B2CF9AE}" pid="135" name="FSC#CCAPRECONFIG@15.1001:AddrzH">
    <vt:lpwstr/>
  </property>
  <property fmtid="{D5CDD505-2E9C-101B-9397-08002B2CF9AE}" pid="136" name="FSC#CCAPRECONFIG@15.1001:AddrGeschlecht">
    <vt:lpwstr/>
  </property>
  <property fmtid="{D5CDD505-2E9C-101B-9397-08002B2CF9AE}" pid="137" name="FSC#CCAPRECONFIG@15.1001:AddrStrasse">
    <vt:lpwstr/>
  </property>
  <property fmtid="{D5CDD505-2E9C-101B-9397-08002B2CF9AE}" pid="138" name="FSC#CCAPRECONFIG@15.1001:AddrHausnummer">
    <vt:lpwstr/>
  </property>
  <property fmtid="{D5CDD505-2E9C-101B-9397-08002B2CF9AE}" pid="139" name="FSC#CCAPRECONFIG@15.1001:AddrStiege">
    <vt:lpwstr/>
  </property>
  <property fmtid="{D5CDD505-2E9C-101B-9397-08002B2CF9AE}" pid="140" name="FSC#CCAPRECONFIG@15.1001:AddrTuer">
    <vt:lpwstr/>
  </property>
  <property fmtid="{D5CDD505-2E9C-101B-9397-08002B2CF9AE}" pid="141" name="FSC#CCAPRECONFIG@15.1001:AddrPostfach">
    <vt:lpwstr/>
  </property>
  <property fmtid="{D5CDD505-2E9C-101B-9397-08002B2CF9AE}" pid="142" name="FSC#CCAPRECONFIG@15.1001:AddrPostleitzahl">
    <vt:lpwstr/>
  </property>
  <property fmtid="{D5CDD505-2E9C-101B-9397-08002B2CF9AE}" pid="143" name="FSC#CCAPRECONFIG@15.1001:AddrOrt">
    <vt:lpwstr/>
  </property>
  <property fmtid="{D5CDD505-2E9C-101B-9397-08002B2CF9AE}" pid="144" name="FSC#CCAPRECONFIG@15.1001:AddrLand">
    <vt:lpwstr/>
  </property>
  <property fmtid="{D5CDD505-2E9C-101B-9397-08002B2CF9AE}" pid="145" name="FSC#CCAPRECONFIG@15.1001:AddrEmail">
    <vt:lpwstr/>
  </property>
  <property fmtid="{D5CDD505-2E9C-101B-9397-08002B2CF9AE}" pid="146" name="FSC#CCAPRECONFIG@15.1001:AddrAdresse">
    <vt:lpwstr/>
  </property>
  <property fmtid="{D5CDD505-2E9C-101B-9397-08002B2CF9AE}" pid="147" name="FSC#CCAPRECONFIG@15.1001:AddrFax">
    <vt:lpwstr/>
  </property>
  <property fmtid="{D5CDD505-2E9C-101B-9397-08002B2CF9AE}" pid="148" name="FSC#CCAPRECONFIG@15.1001:AddrOrganisationsname">
    <vt:lpwstr/>
  </property>
  <property fmtid="{D5CDD505-2E9C-101B-9397-08002B2CF9AE}" pid="149" name="FSC#CCAPRECONFIG@15.1001:AddrOrganisationskurzname">
    <vt:lpwstr/>
  </property>
  <property fmtid="{D5CDD505-2E9C-101B-9397-08002B2CF9AE}" pid="150" name="FSC#CCAPRECONFIG@15.1001:AddrAbschriftsbemerkung">
    <vt:lpwstr/>
  </property>
  <property fmtid="{D5CDD505-2E9C-101B-9397-08002B2CF9AE}" pid="151" name="FSC#CCAPRECONFIG@15.1001:AddrName_Zeile_2">
    <vt:lpwstr/>
  </property>
  <property fmtid="{D5CDD505-2E9C-101B-9397-08002B2CF9AE}" pid="152" name="FSC#CCAPRECONFIG@15.1001:AddrName_Zeile_3">
    <vt:lpwstr/>
  </property>
  <property fmtid="{D5CDD505-2E9C-101B-9397-08002B2CF9AE}" pid="153" name="FSC#CCAPRECONFIG@15.1001:AddrPostalischeAdresse">
    <vt:lpwstr/>
  </property>
  <property fmtid="{D5CDD505-2E9C-101B-9397-08002B2CF9AE}" pid="154" name="FSC#FSCFOLIO@1.1001:docpropproject">
    <vt:lpwstr/>
  </property>
</Properties>
</file>