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13" w:rsidRDefault="00E7261E">
      <w:pPr>
        <w:jc w:val="both"/>
        <w:rPr>
          <w:rFonts w:eastAsia="Century Gothic" w:cs="Arial"/>
          <w:color w:val="000000"/>
          <w:sz w:val="32"/>
          <w:szCs w:val="32"/>
          <w:lang w:val="it-IT"/>
        </w:rPr>
      </w:pPr>
      <w:r>
        <w:rPr>
          <w:rFonts w:eastAsia="Century Gothic" w:cs="Arial"/>
          <w:b/>
          <w:color w:val="000000"/>
          <w:sz w:val="32"/>
          <w:szCs w:val="32"/>
          <w:lang w:val="it-IT"/>
        </w:rPr>
        <w:t>Panoramica cantonale sulle misure di formazione riguardanti l’acquisizione e il mantenimento delle competenze di base degli adulti</w:t>
      </w:r>
    </w:p>
    <w:p w:rsidR="00404F13" w:rsidRDefault="00404F13">
      <w:pPr>
        <w:jc w:val="both"/>
        <w:rPr>
          <w:rFonts w:eastAsia="Century Gothic" w:cs="Arial"/>
          <w:sz w:val="32"/>
          <w:szCs w:val="32"/>
          <w:lang w:val="it-IT"/>
        </w:rPr>
      </w:pPr>
    </w:p>
    <w:p w:rsidR="00404F13" w:rsidRDefault="00E7261E">
      <w:pPr>
        <w:spacing w:after="120"/>
        <w:jc w:val="both"/>
        <w:rPr>
          <w:rFonts w:eastAsia="Century Gothic" w:cs="Arial"/>
          <w:szCs w:val="16"/>
          <w:lang w:val="it-IT"/>
        </w:rPr>
      </w:pPr>
      <w:r>
        <w:rPr>
          <w:rFonts w:eastAsia="Century Gothic" w:cs="Arial"/>
          <w:szCs w:val="16"/>
          <w:lang w:val="it-IT"/>
        </w:rPr>
        <w:t xml:space="preserve">Cfr. capitolo 3 del documento programmatico «Promozione dell’acquisizione e del mantenimento delle competenze di base degli adulti» </w:t>
      </w:r>
    </w:p>
    <w:p w:rsidR="00404F13" w:rsidRDefault="00404F13">
      <w:pPr>
        <w:spacing w:after="120"/>
        <w:jc w:val="both"/>
        <w:rPr>
          <w:rFonts w:eastAsia="Century Gothic" w:cs="Arial"/>
          <w:szCs w:val="16"/>
          <w:lang w:val="it-IT"/>
        </w:rPr>
      </w:pPr>
    </w:p>
    <w:p w:rsidR="00404F13" w:rsidRDefault="00E7261E">
      <w:pPr>
        <w:spacing w:after="120"/>
        <w:jc w:val="both"/>
        <w:rPr>
          <w:rFonts w:eastAsia="Century Gothic" w:cs="Arial"/>
          <w:szCs w:val="16"/>
          <w:lang w:val="it-IT"/>
        </w:rPr>
      </w:pPr>
      <w:r>
        <w:rPr>
          <w:rFonts w:eastAsia="Century Gothic" w:cs="Arial"/>
          <w:szCs w:val="16"/>
          <w:lang w:val="it-IT"/>
        </w:rPr>
        <w:t xml:space="preserve">Per rilevare le informazioni necessarie i Cantoni hanno a disposizione dei questionari da sottoporre agli operatori delle offerte riguardanti l’acquisizione e il mantenimento delle competenze di base degli adulti (moduli LS, SE, AM, IKT e KA). </w:t>
      </w:r>
    </w:p>
    <w:p w:rsidR="00404F13" w:rsidRDefault="00E7261E">
      <w:pPr>
        <w:spacing w:after="120"/>
        <w:jc w:val="both"/>
        <w:rPr>
          <w:rFonts w:eastAsia="Century Gothic" w:cs="Arial"/>
          <w:szCs w:val="16"/>
          <w:lang w:val="it-IT"/>
        </w:rPr>
      </w:pPr>
      <w:r>
        <w:rPr>
          <w:rFonts w:eastAsia="Century Gothic" w:cs="Arial"/>
          <w:noProof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4160" cy="266065"/>
                <wp:effectExtent l="0" t="0" r="21590" b="2032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6606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13" w:rsidRDefault="00404F13">
                            <w:pPr>
                              <w:shd w:val="clear" w:color="auto" w:fill="FBE4D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0;margin-top:.55pt;width:20.8pt;height:20.9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" fillcolor="#fbe4d5">
                <v:textbox style="mso-fit-shape-to-text:t">
                  <w:txbxContent>
                    <w:p>
                      <w:pPr>
                        <w:shd w:val="clear" w:color="auto" w:fill="FBE4D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entury Gothic" w:cs="Arial"/>
          <w:szCs w:val="16"/>
          <w:lang w:val="it-IT"/>
        </w:rPr>
        <w:t xml:space="preserve">I campi arancioni possono essere aggregati e riportati direttamente nelle tabelle della presente panoramica. </w:t>
      </w:r>
    </w:p>
    <w:p w:rsidR="00404F13" w:rsidRDefault="00E7261E">
      <w:pPr>
        <w:spacing w:after="120"/>
        <w:jc w:val="both"/>
        <w:rPr>
          <w:rFonts w:eastAsia="Century Gothic" w:cs="Arial"/>
          <w:szCs w:val="16"/>
          <w:lang w:val="it-IT"/>
        </w:rPr>
      </w:pPr>
      <w:r>
        <w:rPr>
          <w:rFonts w:eastAsia="Century Gothic" w:cs="Arial"/>
          <w:noProof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25069</wp:posOffset>
                </wp:positionV>
                <wp:extent cx="264160" cy="266065"/>
                <wp:effectExtent l="0" t="0" r="21590" b="2032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66065"/>
                        </a:xfrm>
                        <a:prstGeom prst="rect">
                          <a:avLst/>
                        </a:prstGeom>
                        <a:solidFill>
                          <a:srgbClr val="E2EF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13" w:rsidRDefault="00404F1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0;margin-top:1.95pt;width:20.8pt;height:20.9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" fillcolor="#e2efda">
                <v:textbox style="mso-fit-shape-to-text:t">
                  <w:txbxContent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entury Gothic" w:cs="Arial"/>
          <w:szCs w:val="16"/>
          <w:lang w:val="it-IT"/>
        </w:rPr>
        <w:t>I campi verdi forniscono informazioni di tipo qualitativo sulle singole offerte che possono essere usate come valori indicativi per rispondere alle domande sottostanti.</w:t>
      </w:r>
    </w:p>
    <w:p w:rsidR="00404F13" w:rsidRDefault="00E7261E">
      <w:pPr>
        <w:spacing w:after="120"/>
        <w:jc w:val="both"/>
        <w:rPr>
          <w:rFonts w:eastAsia="Century Gothic" w:cs="Arial"/>
          <w:szCs w:val="16"/>
          <w:lang w:val="it-IT"/>
        </w:rPr>
      </w:pPr>
      <w:r>
        <w:rPr>
          <w:rFonts w:eastAsia="Century Gothic" w:cs="Arial"/>
          <w:szCs w:val="16"/>
          <w:lang w:val="it-IT"/>
        </w:rPr>
        <w:t>I campi gialli forniscono indicazioni sul metodo di rilevamento, le buone pratiche o gli interventi necessari. Sono utili per rispondere alle domande sottostanti (campi con le conclusioni più valutazione del Cantone) e possono essere discussi in occasione di scambi di buone pratiche</w:t>
      </w:r>
      <w:r>
        <w:rPr>
          <w:rFonts w:eastAsia="Century Gothic" w:cs="Arial"/>
          <w:noProof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64160" cy="266065"/>
                <wp:effectExtent l="0" t="0" r="21590" b="2032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6606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13" w:rsidRDefault="00404F1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0;margin-top:1.15pt;width:20.8pt;height:20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" fillcolor="#fff2cc">
                <v:textbox style="mso-fit-shape-to-text:t">
                  <w:txbxContent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entury Gothic" w:cs="Arial"/>
          <w:szCs w:val="16"/>
          <w:lang w:val="it-IT"/>
        </w:rPr>
        <w:t>.</w:t>
      </w:r>
    </w:p>
    <w:p w:rsidR="00404F13" w:rsidRDefault="00E7261E">
      <w:pPr>
        <w:spacing w:line="240" w:lineRule="auto"/>
        <w:jc w:val="both"/>
        <w:rPr>
          <w:rFonts w:eastAsia="Century Gothic" w:cs="Arial"/>
          <w:szCs w:val="16"/>
          <w:lang w:val="it-IT"/>
        </w:rPr>
      </w:pPr>
      <w:r>
        <w:rPr>
          <w:rFonts w:eastAsia="Century Gothic" w:cs="Arial"/>
          <w:noProof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22556</wp:posOffset>
                </wp:positionV>
                <wp:extent cx="264160" cy="266065"/>
                <wp:effectExtent l="0" t="0" r="21590" b="2032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2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4F13" w:rsidRDefault="00404F1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left:0;text-align:left;margin-left:0;margin-top:1.8pt;width:20.8pt;height:2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" filled="f" fillcolor="#fff2cc">
                <v:textbox style="mso-fit-shape-to-text:t">
                  <w:txbxContent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entury Gothic" w:cs="Arial"/>
          <w:szCs w:val="16"/>
          <w:lang w:val="it-IT"/>
        </w:rPr>
        <w:t xml:space="preserve">I campi bianchi contengono informazioni utili per i Cantoni. </w:t>
      </w:r>
    </w:p>
    <w:p w:rsidR="00404F13" w:rsidRDefault="00404F13">
      <w:pPr>
        <w:spacing w:line="240" w:lineRule="auto"/>
        <w:jc w:val="both"/>
        <w:rPr>
          <w:rFonts w:eastAsia="Century Gothic" w:cs="Arial"/>
          <w:szCs w:val="16"/>
          <w:lang w:val="it-IT"/>
        </w:rPr>
      </w:pPr>
    </w:p>
    <w:p w:rsidR="00404F13" w:rsidRDefault="00404F13">
      <w:pPr>
        <w:spacing w:line="240" w:lineRule="auto"/>
        <w:jc w:val="both"/>
        <w:rPr>
          <w:rFonts w:eastAsia="Century Gothic" w:cs="Arial"/>
          <w:szCs w:val="16"/>
          <w:lang w:val="it-IT"/>
        </w:rPr>
      </w:pPr>
    </w:p>
    <w:p w:rsidR="00404F13" w:rsidRDefault="00404F13">
      <w:pPr>
        <w:spacing w:line="240" w:lineRule="auto"/>
        <w:jc w:val="both"/>
        <w:rPr>
          <w:rFonts w:eastAsia="Century Gothic" w:cs="Arial"/>
          <w:szCs w:val="16"/>
          <w:lang w:val="it-IT"/>
        </w:rPr>
      </w:pPr>
    </w:p>
    <w:p w:rsidR="00404F13" w:rsidRDefault="00E7261E">
      <w:pPr>
        <w:spacing w:line="240" w:lineRule="auto"/>
        <w:jc w:val="both"/>
        <w:rPr>
          <w:rFonts w:eastAsia="Century Gothic" w:cs="Arial"/>
          <w:b/>
          <w:szCs w:val="16"/>
          <w:lang w:val="it-IT"/>
        </w:rPr>
      </w:pPr>
      <w:r>
        <w:rPr>
          <w:rFonts w:eastAsia="Century Gothic" w:cs="Arial"/>
          <w:b/>
          <w:szCs w:val="16"/>
          <w:lang w:val="it-IT"/>
        </w:rPr>
        <w:t>I dati devono riguardare l’anno civile 2017 oppure l’anno scolastico 2016/2017.</w:t>
      </w:r>
    </w:p>
    <w:p w:rsidR="00404F13" w:rsidRDefault="00404F13">
      <w:pPr>
        <w:spacing w:after="120"/>
        <w:jc w:val="both"/>
        <w:rPr>
          <w:rFonts w:eastAsia="Century Gothic" w:cs="Arial"/>
          <w:szCs w:val="16"/>
          <w:lang w:val="it-IT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404F13">
        <w:trPr>
          <w:trHeight w:val="340"/>
        </w:trPr>
        <w:tc>
          <w:tcPr>
            <w:tcW w:w="3397" w:type="dxa"/>
            <w:vAlign w:val="center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Cantone</w:t>
            </w:r>
          </w:p>
        </w:tc>
        <w:tc>
          <w:tcPr>
            <w:tcW w:w="6067" w:type="dxa"/>
            <w:vAlign w:val="center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>
              <w:rPr>
                <w:rFonts w:eastAsia="Century Gothic" w:cs="Arial"/>
                <w:szCs w:val="20"/>
                <w:lang w:val="it-IT"/>
              </w:rPr>
            </w:r>
            <w:r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404F13">
        <w:trPr>
          <w:trHeight w:val="340"/>
        </w:trPr>
        <w:tc>
          <w:tcPr>
            <w:tcW w:w="3397" w:type="dxa"/>
            <w:vAlign w:val="center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Ufficio responsabile</w:t>
            </w:r>
          </w:p>
        </w:tc>
        <w:tc>
          <w:tcPr>
            <w:tcW w:w="6067" w:type="dxa"/>
            <w:vAlign w:val="center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>
              <w:rPr>
                <w:rFonts w:eastAsia="Century Gothic" w:cs="Arial"/>
                <w:szCs w:val="20"/>
                <w:lang w:val="it-IT"/>
              </w:rPr>
            </w:r>
            <w:r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0"/>
          </w:p>
        </w:tc>
      </w:tr>
      <w:tr w:rsidR="00404F13">
        <w:trPr>
          <w:trHeight w:val="340"/>
        </w:trPr>
        <w:tc>
          <w:tcPr>
            <w:tcW w:w="3397" w:type="dxa"/>
            <w:vAlign w:val="center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Via / casella postale</w:t>
            </w:r>
          </w:p>
        </w:tc>
        <w:tc>
          <w:tcPr>
            <w:tcW w:w="6067" w:type="dxa"/>
            <w:vAlign w:val="center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>
              <w:rPr>
                <w:rFonts w:eastAsia="Century Gothic" w:cs="Arial"/>
                <w:szCs w:val="20"/>
                <w:lang w:val="it-IT"/>
              </w:rPr>
            </w:r>
            <w:r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1"/>
          </w:p>
        </w:tc>
      </w:tr>
      <w:tr w:rsidR="00404F13">
        <w:trPr>
          <w:trHeight w:val="340"/>
        </w:trPr>
        <w:tc>
          <w:tcPr>
            <w:tcW w:w="3397" w:type="dxa"/>
            <w:vAlign w:val="center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Località</w:t>
            </w:r>
          </w:p>
        </w:tc>
        <w:tc>
          <w:tcPr>
            <w:tcW w:w="6067" w:type="dxa"/>
            <w:vAlign w:val="center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>
              <w:rPr>
                <w:rFonts w:eastAsia="Century Gothic" w:cs="Arial"/>
                <w:szCs w:val="20"/>
                <w:lang w:val="it-IT"/>
              </w:rPr>
            </w:r>
            <w:r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2"/>
          </w:p>
        </w:tc>
      </w:tr>
      <w:tr w:rsidR="00404F13">
        <w:trPr>
          <w:trHeight w:val="340"/>
        </w:trPr>
        <w:tc>
          <w:tcPr>
            <w:tcW w:w="3397" w:type="dxa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Nome e cognome della persona di contatto</w:t>
            </w:r>
          </w:p>
        </w:tc>
        <w:tc>
          <w:tcPr>
            <w:tcW w:w="6067" w:type="dxa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>
              <w:rPr>
                <w:rFonts w:eastAsia="Century Gothic" w:cs="Arial"/>
                <w:szCs w:val="20"/>
                <w:lang w:val="it-IT"/>
              </w:rPr>
            </w:r>
            <w:r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>
              <w:rPr>
                <w:rFonts w:eastAsia="Century Gothic" w:cs="Arial"/>
                <w:szCs w:val="20"/>
                <w:lang w:val="it-IT"/>
              </w:rPr>
              <w:fldChar w:fldCharType="end"/>
            </w:r>
            <w:bookmarkEnd w:id="3"/>
          </w:p>
        </w:tc>
      </w:tr>
      <w:tr w:rsidR="00404F13">
        <w:trPr>
          <w:trHeight w:val="340"/>
        </w:trPr>
        <w:tc>
          <w:tcPr>
            <w:tcW w:w="3397" w:type="dxa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E-mail</w:t>
            </w:r>
          </w:p>
        </w:tc>
        <w:tc>
          <w:tcPr>
            <w:tcW w:w="6067" w:type="dxa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>
              <w:rPr>
                <w:rFonts w:eastAsia="Century Gothic" w:cs="Arial"/>
                <w:szCs w:val="20"/>
                <w:lang w:val="it-IT"/>
              </w:rPr>
            </w:r>
            <w:r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404F13">
        <w:trPr>
          <w:trHeight w:val="340"/>
        </w:trPr>
        <w:tc>
          <w:tcPr>
            <w:tcW w:w="3397" w:type="dxa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Telefono</w:t>
            </w:r>
          </w:p>
        </w:tc>
        <w:tc>
          <w:tcPr>
            <w:tcW w:w="6067" w:type="dxa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>
              <w:rPr>
                <w:rFonts w:eastAsia="Century Gothic" w:cs="Arial"/>
                <w:szCs w:val="20"/>
                <w:lang w:val="it-IT"/>
              </w:rPr>
            </w:r>
            <w:r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 w:rsidR="003B7688">
              <w:rPr>
                <w:rFonts w:eastAsia="Century Gothic" w:cs="Arial"/>
                <w:noProof/>
                <w:szCs w:val="20"/>
                <w:lang w:val="it-IT"/>
              </w:rPr>
              <w:t> </w:t>
            </w:r>
            <w:r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>Inviare entro il 31 dicembre 2018 a: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 xml:space="preserve">Segreteria di Stato per la formazione, </w:t>
      </w:r>
    </w:p>
    <w:p w:rsidR="00404F13" w:rsidRDefault="00E7261E">
      <w:p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la ricerca e l’innovazione SEFRI</w:t>
      </w:r>
    </w:p>
    <w:p w:rsidR="00404F13" w:rsidRDefault="003B7688">
      <w:pPr>
        <w:jc w:val="both"/>
        <w:rPr>
          <w:rFonts w:eastAsia="Century Gothic" w:cs="Arial"/>
          <w:szCs w:val="20"/>
          <w:lang w:val="it-IT"/>
        </w:rPr>
      </w:pPr>
      <w:r w:rsidRPr="003B7688">
        <w:rPr>
          <w:rFonts w:eastAsia="Century Gothic" w:cs="Arial"/>
          <w:szCs w:val="20"/>
          <w:lang w:val="it-IT"/>
        </w:rPr>
        <w:t>Formazione</w:t>
      </w:r>
      <w:bookmarkStart w:id="4" w:name="_GoBack"/>
      <w:bookmarkEnd w:id="4"/>
      <w:r w:rsidRPr="003B7688">
        <w:rPr>
          <w:rFonts w:eastAsia="Century Gothic" w:cs="Arial"/>
          <w:szCs w:val="20"/>
          <w:lang w:val="it-IT"/>
        </w:rPr>
        <w:t xml:space="preserve"> continua e promozione di progetti</w:t>
      </w:r>
    </w:p>
    <w:p w:rsidR="00E7261E" w:rsidRDefault="00E7261E">
      <w:p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Priska Widmer</w:t>
      </w:r>
    </w:p>
    <w:p w:rsidR="00404F13" w:rsidRDefault="00E7261E">
      <w:p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 xml:space="preserve">Einsteinstrasse 2 </w:t>
      </w:r>
    </w:p>
    <w:p w:rsidR="00404F13" w:rsidRDefault="00E7261E">
      <w:p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3003 Berna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spacing w:line="240" w:lineRule="auto"/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 xml:space="preserve">Domande generiche </w:t>
      </w:r>
      <w:r>
        <w:rPr>
          <w:rFonts w:eastAsia="Century Gothic" w:cs="Arial"/>
          <w:b/>
          <w:szCs w:val="20"/>
          <w:lang w:val="it-IT"/>
        </w:rPr>
        <w:br/>
      </w:r>
    </w:p>
    <w:p w:rsidR="00404F13" w:rsidRDefault="00E7261E">
      <w:pPr>
        <w:pStyle w:val="Listenabsatz"/>
        <w:numPr>
          <w:ilvl w:val="1"/>
          <w:numId w:val="18"/>
        </w:numPr>
        <w:jc w:val="both"/>
        <w:rPr>
          <w:lang w:val="it-IT"/>
        </w:rPr>
      </w:pPr>
      <w:r>
        <w:rPr>
          <w:lang w:val="it-IT"/>
        </w:rPr>
        <w:t>Esiste una panoramica di tutte le offerte del Cantone? Quali servizi non hanno risposto?</w:t>
      </w:r>
    </w:p>
    <w:p w:rsidR="00404F13" w:rsidRDefault="00404F13">
      <w:pPr>
        <w:jc w:val="both"/>
        <w:rPr>
          <w:lang w:val="it-IT"/>
        </w:rPr>
      </w:pPr>
    </w:p>
    <w:p w:rsidR="00404F13" w:rsidRDefault="00E7261E">
      <w:pPr>
        <w:pStyle w:val="Listenabsatz"/>
        <w:numPr>
          <w:ilvl w:val="1"/>
          <w:numId w:val="18"/>
        </w:numPr>
        <w:jc w:val="both"/>
        <w:rPr>
          <w:lang w:val="it-IT"/>
        </w:rPr>
      </w:pPr>
      <w:r>
        <w:rPr>
          <w:lang w:val="it-IT"/>
        </w:rPr>
        <w:t>Quali servizi si occupano della sensibilizzazione, dell’informazione, della consulenza e dell’assegnazione dei partecipanti a misure di formazione adeguate? I loro gruppi target sono diversi? Se sì, come sono distribuiti?</w:t>
      </w:r>
    </w:p>
    <w:p w:rsidR="00404F13" w:rsidRDefault="00404F13">
      <w:pPr>
        <w:jc w:val="both"/>
        <w:rPr>
          <w:lang w:val="it-IT"/>
        </w:rPr>
      </w:pPr>
    </w:p>
    <w:p w:rsidR="00404F13" w:rsidRDefault="00E7261E">
      <w:pPr>
        <w:pStyle w:val="Listenabsatz"/>
        <w:numPr>
          <w:ilvl w:val="1"/>
          <w:numId w:val="18"/>
        </w:numPr>
        <w:jc w:val="both"/>
        <w:rPr>
          <w:lang w:val="it-IT"/>
        </w:rPr>
      </w:pPr>
      <w:r>
        <w:rPr>
          <w:lang w:val="it-IT"/>
        </w:rPr>
        <w:t xml:space="preserve">In che modo i diversi gruppi target vengono informati dell’offerta? 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8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punti in comune sono stati identificati nel Cantone per quanto riguarda la promozione delle competenze di base e come sono state disciplinate le responsabilità?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0"/>
          <w:numId w:val="17"/>
        </w:numPr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>Ambito Lettura e scrittura (moduli LS)</w:t>
      </w:r>
      <w:r>
        <w:rPr>
          <w:rFonts w:eastAsia="Century Gothic" w:cs="Arial"/>
          <w:b/>
          <w:szCs w:val="20"/>
          <w:lang w:val="it-IT"/>
        </w:rPr>
        <w:br/>
      </w:r>
    </w:p>
    <w:tbl>
      <w:tblPr>
        <w:tblW w:w="92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80"/>
        <w:gridCol w:w="1760"/>
        <w:gridCol w:w="160"/>
      </w:tblGrid>
      <w:tr w:rsidR="00404F13">
        <w:trPr>
          <w:trHeight w:val="315"/>
        </w:trPr>
        <w:tc>
          <w:tcPr>
            <w:tcW w:w="6521" w:type="dxa"/>
            <w:shd w:val="clear" w:color="auto" w:fill="auto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i/>
                <w:szCs w:val="20"/>
                <w:lang w:val="it-IT" w:eastAsia="de-CH"/>
              </w:rPr>
            </w:pPr>
            <w:r>
              <w:rPr>
                <w:rFonts w:eastAsia="Times New Roman" w:cs="Arial"/>
                <w:i/>
                <w:color w:val="C00000"/>
                <w:szCs w:val="20"/>
                <w:lang w:val="it-IT" w:eastAsia="de-CH"/>
              </w:rPr>
              <w:t>Cancellare il periodo non rilevante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b/>
                <w:color w:val="C00000"/>
                <w:szCs w:val="20"/>
                <w:lang w:val="it-IT" w:eastAsia="de-CH"/>
              </w:rPr>
              <w:t>2017 oppure 2016/17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Numero di offerte all’anno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partecipanti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ore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ore/partecipanti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 w:rsidRPr="003B7688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Età media dei partecipanti </w:t>
            </w: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br/>
              <w:t>(valore stimato)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Donne </w:t>
            </w: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br/>
              <w:t>(in %, valore stimato)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Onere finanziario annuo (totale)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i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i/>
                <w:color w:val="000000"/>
                <w:szCs w:val="20"/>
                <w:lang w:val="it-IT" w:eastAsia="de-CH"/>
              </w:rPr>
              <w:t>Finanziatori: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Dipartimento competente (incl. LFCo)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Programma di integrazione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Terzi (enti pubblici)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Terzi (privati)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Partecipanti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1"/>
        </w:trPr>
        <w:tc>
          <w:tcPr>
            <w:tcW w:w="6521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Costi per i partecipanti (all’ora)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</w:tbl>
    <w:p w:rsidR="00404F13" w:rsidRDefault="00404F13">
      <w:pPr>
        <w:pStyle w:val="Listenabsatz"/>
        <w:ind w:left="360"/>
        <w:jc w:val="both"/>
        <w:rPr>
          <w:rFonts w:eastAsia="Century Gothic" w:cs="Arial"/>
          <w:b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b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Come valuta l’offerta nell’ambito Lettura e scrittura? Sufficiente / insufficiente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Copertura territoriale: in quali zone le offerte coprono tutto il territorio? Ci sono regioni in cui non esiste nessuna offerta? Per quale motivo?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Raggiungimento del gruppo target: quali sono i gruppi target definiti e interpellati? Ne manca uno? Quali sono le tipologie di offerte disponibili e quali si sono rivelate particolarmente efficaci?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Si registrano tendenze chiare per quanto riguarda età, sesso, situazione lavorativa e livello di istruzione dei partecipanti alle offerte? Quali?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Come valutate l’offerta?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sono gli aspetti positivi?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sono le difficoltà?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Le offerte permettono di proseguire la formazione? Quali sono gli argomenti pro o contro la definizione di livelli o temi principali? Mancano livelli o temi principali?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Nei prossimi anni avete intenzione di estendere / mantenere / ridurre l’offerta? Per quale motivo? In che modo?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7"/>
        </w:numPr>
        <w:tabs>
          <w:tab w:val="left" w:pos="426"/>
        </w:tabs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Altre osservazioni su questo ambito: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spacing w:line="240" w:lineRule="auto"/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br w:type="page"/>
      </w:r>
    </w:p>
    <w:p w:rsidR="00404F13" w:rsidRDefault="00E7261E">
      <w:pPr>
        <w:pStyle w:val="Listenabsatz"/>
        <w:numPr>
          <w:ilvl w:val="0"/>
          <w:numId w:val="17"/>
        </w:numPr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lastRenderedPageBreak/>
        <w:t>Ambito Apprendimento della lingua (moduli SE)</w:t>
      </w:r>
    </w:p>
    <w:p w:rsidR="00404F13" w:rsidRDefault="00404F13">
      <w:pPr>
        <w:jc w:val="both"/>
        <w:rPr>
          <w:rFonts w:eastAsia="Century Gothic" w:cs="Arial"/>
          <w:b/>
          <w:szCs w:val="20"/>
          <w:lang w:val="it-IT"/>
        </w:rPr>
      </w:pPr>
    </w:p>
    <w:p w:rsidR="00404F13" w:rsidRDefault="00E7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>Per rispondere alle domande dell’ambito Apprendimento della lingua i delegati all’integrazione hanno a disposizione molte informazioni utili.</w:t>
      </w:r>
    </w:p>
    <w:p w:rsidR="00404F13" w:rsidRDefault="00404F13">
      <w:pPr>
        <w:ind w:left="426" w:hanging="426"/>
        <w:jc w:val="both"/>
        <w:rPr>
          <w:rFonts w:eastAsia="Century Gothic" w:cs="Arial"/>
          <w:b/>
          <w:szCs w:val="20"/>
          <w:lang w:val="it-IT"/>
        </w:rPr>
      </w:pPr>
    </w:p>
    <w:tbl>
      <w:tblPr>
        <w:tblW w:w="907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780"/>
        <w:gridCol w:w="1760"/>
        <w:gridCol w:w="160"/>
      </w:tblGrid>
      <w:tr w:rsidR="00404F13">
        <w:trPr>
          <w:trHeight w:val="315"/>
        </w:trPr>
        <w:tc>
          <w:tcPr>
            <w:tcW w:w="6379" w:type="dxa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i/>
                <w:szCs w:val="20"/>
                <w:lang w:val="it-IT" w:eastAsia="de-CH"/>
              </w:rPr>
            </w:pPr>
            <w:r>
              <w:rPr>
                <w:rFonts w:eastAsia="Times New Roman" w:cs="Arial"/>
                <w:i/>
                <w:color w:val="C00000"/>
                <w:szCs w:val="20"/>
                <w:lang w:val="it-IT" w:eastAsia="de-CH"/>
              </w:rPr>
              <w:t>Cancellare il periodo non rilevante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b/>
                <w:color w:val="C00000"/>
                <w:szCs w:val="20"/>
                <w:lang w:val="it-IT" w:eastAsia="de-CH"/>
              </w:rPr>
              <w:t>2017 oppure 2016/17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Numero di offerte all’anno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partecipanti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ore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ore/partecipanti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 w:rsidRPr="003B7688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Età media dei partecipanti </w:t>
            </w: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br/>
              <w:t>(valore stimato)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Donne </w:t>
            </w: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br/>
              <w:t>(in %, valore stimato)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Onere finanziario annuo (totale)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i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i/>
                <w:color w:val="000000"/>
                <w:szCs w:val="20"/>
                <w:lang w:val="it-IT" w:eastAsia="de-CH"/>
              </w:rPr>
              <w:t>Finanziatori: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Dipartimento competente (incl. LFCo)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Programma di integrazione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Terzi (enti pubblici)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Terzi (privati)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Partecipanti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1"/>
        </w:trPr>
        <w:tc>
          <w:tcPr>
            <w:tcW w:w="6379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Costi per i partecipanti (all’ora)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</w:tbl>
    <w:p w:rsidR="00404F13" w:rsidRDefault="00404F13">
      <w:pPr>
        <w:ind w:left="426" w:hanging="426"/>
        <w:jc w:val="both"/>
        <w:rPr>
          <w:rFonts w:eastAsia="Century Gothic" w:cs="Arial"/>
          <w:b/>
          <w:szCs w:val="20"/>
          <w:lang w:val="it-IT"/>
        </w:rPr>
      </w:pPr>
    </w:p>
    <w:p w:rsidR="00404F13" w:rsidRDefault="00404F13">
      <w:pPr>
        <w:ind w:left="426" w:hanging="426"/>
        <w:jc w:val="both"/>
        <w:rPr>
          <w:rFonts w:eastAsia="Century Gothic" w:cs="Arial"/>
          <w:b/>
          <w:szCs w:val="20"/>
          <w:lang w:val="it-IT"/>
        </w:rPr>
      </w:pPr>
    </w:p>
    <w:p w:rsidR="00404F13" w:rsidRDefault="00E7261E">
      <w:pPr>
        <w:ind w:left="426" w:hanging="426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3.1</w:t>
      </w:r>
      <w:r>
        <w:rPr>
          <w:rFonts w:eastAsia="Century Gothic" w:cs="Arial"/>
          <w:szCs w:val="20"/>
          <w:lang w:val="it-IT"/>
        </w:rPr>
        <w:tab/>
        <w:t>Come avviene la collaborazione con il servizio specializzato in materia d’integrazione?</w:t>
      </w:r>
    </w:p>
    <w:p w:rsidR="00404F13" w:rsidRDefault="00404F13">
      <w:pPr>
        <w:ind w:left="426" w:hanging="426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ind w:left="426" w:hanging="426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3.2</w:t>
      </w:r>
      <w:r>
        <w:rPr>
          <w:rFonts w:eastAsia="Century Gothic" w:cs="Arial"/>
          <w:szCs w:val="20"/>
          <w:lang w:val="it-IT"/>
        </w:rPr>
        <w:tab/>
        <w:t>A chi spetta il compito di mettere a disposizione un’offerta sufficiente?</w:t>
      </w:r>
    </w:p>
    <w:p w:rsidR="00404F13" w:rsidRDefault="00404F13">
      <w:pPr>
        <w:ind w:left="426" w:hanging="426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ind w:left="426" w:hanging="426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3.3</w:t>
      </w:r>
      <w:r>
        <w:rPr>
          <w:rFonts w:eastAsia="Century Gothic" w:cs="Arial"/>
          <w:szCs w:val="20"/>
          <w:lang w:val="it-IT"/>
        </w:rPr>
        <w:tab/>
        <w:t>Com’è disciplinato il finanziamento?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ind w:left="426" w:hanging="426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3.4</w:t>
      </w:r>
      <w:r>
        <w:rPr>
          <w:rFonts w:eastAsia="Century Gothic" w:cs="Arial"/>
          <w:szCs w:val="20"/>
          <w:lang w:val="it-IT"/>
        </w:rPr>
        <w:tab/>
        <w:t>Come valutate l’offerta nell’ambito Apprendimento della lingua? Sufficiente / insufficiente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ind w:left="426" w:hanging="426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3.5</w:t>
      </w:r>
      <w:r>
        <w:rPr>
          <w:rFonts w:eastAsia="Century Gothic" w:cs="Arial"/>
          <w:szCs w:val="20"/>
          <w:lang w:val="it-IT"/>
        </w:rPr>
        <w:tab/>
        <w:t>Copertura territoriale: in quali zone le offerte coprono tutto il territorio? Ci sono regioni in cui non esiste nessuna offerta? Per quale motivo?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ind w:left="426" w:hanging="426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3.6</w:t>
      </w:r>
      <w:r>
        <w:rPr>
          <w:rFonts w:eastAsia="Century Gothic" w:cs="Arial"/>
          <w:szCs w:val="20"/>
          <w:lang w:val="it-IT"/>
        </w:rPr>
        <w:tab/>
        <w:t>Raggiungimento del gruppo target: quali sono i gruppi target definiti e interpellati? Ne manca uno? Quali sono le tipologie di offerte disponibili e quali si sono rivelate particolarmente efficaci?</w:t>
      </w:r>
    </w:p>
    <w:p w:rsidR="00404F13" w:rsidRDefault="00404F13">
      <w:pPr>
        <w:ind w:left="426" w:hanging="426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9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Si registrano tendenze chiare per quanto riguarda età, sesso, situazione lavorativa e livello di istruzione dei partecipanti alle offerte? Quali?</w:t>
      </w:r>
    </w:p>
    <w:p w:rsidR="00404F13" w:rsidRDefault="00404F13">
      <w:pPr>
        <w:pStyle w:val="Listenabsatz"/>
        <w:ind w:left="360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9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 xml:space="preserve">Come valutate l’offerta? 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9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sono gli aspetti positivi?</w:t>
      </w:r>
    </w:p>
    <w:p w:rsidR="00404F13" w:rsidRDefault="00404F13">
      <w:pPr>
        <w:pStyle w:val="Listenabsatz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9"/>
        </w:numPr>
        <w:tabs>
          <w:tab w:val="left" w:pos="426"/>
        </w:tabs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sono le difficoltà?</w:t>
      </w:r>
    </w:p>
    <w:p w:rsidR="00404F13" w:rsidRDefault="00404F13">
      <w:pPr>
        <w:pStyle w:val="Listenabsatz"/>
        <w:tabs>
          <w:tab w:val="left" w:pos="426"/>
        </w:tabs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9"/>
        </w:numPr>
        <w:tabs>
          <w:tab w:val="left" w:pos="426"/>
        </w:tabs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Le offerte sono impostate in maniera concatenata? Quali sono gli argomenti pro o contro la definizione di livelli o temi principali? Mancano livelli o temi principali?</w:t>
      </w:r>
    </w:p>
    <w:p w:rsidR="00404F13" w:rsidRDefault="00404F13">
      <w:pPr>
        <w:pStyle w:val="Listenabsatz"/>
        <w:tabs>
          <w:tab w:val="left" w:pos="426"/>
        </w:tabs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9"/>
        </w:numPr>
        <w:tabs>
          <w:tab w:val="left" w:pos="426"/>
        </w:tabs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lastRenderedPageBreak/>
        <w:t>Nei prossimi anni avete intenzione di estendere / mantenere / ridurre l’offerta? Per quale motivo? In che modo?</w:t>
      </w:r>
    </w:p>
    <w:p w:rsidR="00404F13" w:rsidRDefault="00404F13">
      <w:pPr>
        <w:pStyle w:val="Listenabsatz"/>
        <w:tabs>
          <w:tab w:val="left" w:pos="426"/>
        </w:tabs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19"/>
        </w:numPr>
        <w:tabs>
          <w:tab w:val="left" w:pos="426"/>
        </w:tabs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Altre osservazioni su questo ambito: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(È possibile rispondere alle domande da 3.4 a 3.11 anche tramite il rapporto relativo ai programmi cantonali d’integrazione).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spacing w:line="240" w:lineRule="auto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br w:type="page"/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0"/>
          <w:numId w:val="19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>Ambito aritmetica di base (moduli AM)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tbl>
      <w:tblPr>
        <w:tblW w:w="92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80"/>
        <w:gridCol w:w="1760"/>
        <w:gridCol w:w="160"/>
      </w:tblGrid>
      <w:tr w:rsidR="00404F13">
        <w:trPr>
          <w:trHeight w:val="315"/>
        </w:trPr>
        <w:tc>
          <w:tcPr>
            <w:tcW w:w="6521" w:type="dxa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i/>
                <w:szCs w:val="20"/>
                <w:lang w:val="it-IT" w:eastAsia="de-CH"/>
              </w:rPr>
            </w:pPr>
            <w:r>
              <w:rPr>
                <w:rFonts w:eastAsia="Times New Roman" w:cs="Arial"/>
                <w:i/>
                <w:color w:val="C00000"/>
                <w:szCs w:val="20"/>
                <w:lang w:val="it-IT" w:eastAsia="de-CH"/>
              </w:rPr>
              <w:t>Cancellare il periodo non rilevante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b/>
                <w:color w:val="C00000"/>
                <w:szCs w:val="20"/>
                <w:lang w:val="it-IT" w:eastAsia="de-CH"/>
              </w:rPr>
              <w:t>2017 oppure 2016/17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Numero di offerte all’anno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partecipanti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ore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ore/partecipanti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 w:rsidRPr="003B7688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Età media dei partecipanti </w:t>
            </w: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br/>
              <w:t>(valore stimato)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Donne </w:t>
            </w: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br/>
              <w:t>(in %, valore stimato)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Onere finanziario annuo (totale)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i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i/>
                <w:color w:val="000000"/>
                <w:szCs w:val="20"/>
                <w:lang w:val="it-IT" w:eastAsia="de-CH"/>
              </w:rPr>
              <w:t>Finanziatori: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Dipartimento competente (incl. LFCo)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Programma di integrazione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Terzi (enti pubblici)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Terzi (privati)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Partecipanti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1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Costi per i partecipanti (all’ora)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</w:tbl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Come valutate l’offerta nell’ambito Aritmetica di base? Sufficiente / insufficiente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Copertura territoriale: in quali zone le offerte coprono tutto il territorio? Ci sono regioni in cui non esiste nessuna offerta? Per quale motivo?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Raggiungimento del gruppo target: quali sono i gruppi target definiti e interpellati? Ne manca uno? Quali sono le tipologie di offerte disponibili e quali si sono rivelate particolarmente efficaci?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Si registrano tendenze chiare per quanto riguarda età, sesso, situazione lavorativa e livello di istruzione dei partecipanti alle offerte? Quali?</w:t>
      </w:r>
    </w:p>
    <w:p w:rsidR="00404F13" w:rsidRDefault="00404F13">
      <w:pPr>
        <w:pStyle w:val="Listenabsatz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 xml:space="preserve">Come valutate l’offerta? 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 xml:space="preserve">Quali sono gli aspetti positivi? 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 xml:space="preserve">Quali sono le difficoltà? 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Le offerte sono impostate in maniera concatenata? Quali sono gli argomenti pro o contro la definizione di livelli o temi principali? Mancano livelli o temi principali?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Nei prossimi anni avete intenzione di estendere / mantenere / ridurre l’offerta? Per quale motivo? In che modo?</w:t>
      </w:r>
    </w:p>
    <w:p w:rsidR="00404F13" w:rsidRDefault="00404F13">
      <w:pPr>
        <w:pStyle w:val="Listenabsatz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tabs>
          <w:tab w:val="left" w:pos="426"/>
        </w:tabs>
        <w:ind w:left="142" w:hanging="142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Altre osservazioni su questo ambito: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spacing w:line="240" w:lineRule="auto"/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br w:type="page"/>
      </w:r>
    </w:p>
    <w:p w:rsidR="00404F13" w:rsidRDefault="00E7261E">
      <w:pPr>
        <w:pStyle w:val="Listenabsatz"/>
        <w:numPr>
          <w:ilvl w:val="0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lastRenderedPageBreak/>
        <w:t>Ambito TIC (moduli IKT)</w:t>
      </w:r>
    </w:p>
    <w:p w:rsidR="00404F13" w:rsidRDefault="00404F13">
      <w:pPr>
        <w:pStyle w:val="Listenabsatz"/>
        <w:ind w:left="360"/>
        <w:jc w:val="both"/>
        <w:rPr>
          <w:rFonts w:eastAsia="Century Gothic" w:cs="Arial"/>
          <w:szCs w:val="20"/>
          <w:lang w:val="it-IT"/>
        </w:rPr>
      </w:pPr>
    </w:p>
    <w:tbl>
      <w:tblPr>
        <w:tblW w:w="92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780"/>
        <w:gridCol w:w="1760"/>
        <w:gridCol w:w="160"/>
      </w:tblGrid>
      <w:tr w:rsidR="00404F13">
        <w:trPr>
          <w:trHeight w:val="315"/>
        </w:trPr>
        <w:tc>
          <w:tcPr>
            <w:tcW w:w="6521" w:type="dxa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i/>
                <w:szCs w:val="20"/>
                <w:lang w:val="it-IT" w:eastAsia="de-CH"/>
              </w:rPr>
            </w:pPr>
            <w:r>
              <w:rPr>
                <w:rFonts w:eastAsia="Times New Roman" w:cs="Arial"/>
                <w:i/>
                <w:color w:val="C00000"/>
                <w:szCs w:val="20"/>
                <w:lang w:val="it-IT" w:eastAsia="de-CH"/>
              </w:rPr>
              <w:t>Cancellare il periodo non rilevante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rPr>
                <w:rFonts w:eastAsia="Times New Roman" w:cs="Arial"/>
                <w:b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b/>
                <w:color w:val="C00000"/>
                <w:szCs w:val="20"/>
                <w:lang w:val="it-IT" w:eastAsia="de-CH"/>
              </w:rPr>
              <w:t>2017 oppure 2016/17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b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Numero di offerte all’anno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partecipanti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ore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Numero di ore/partecipanti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 w:rsidRPr="003B7688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Età media dei partecipanti </w:t>
            </w: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br/>
              <w:t>(valore stimato)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 xml:space="preserve">Donne </w:t>
            </w: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br/>
              <w:t>(in %, valore stimato)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Onere finanziario annuo (totale)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i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i/>
                <w:color w:val="000000"/>
                <w:szCs w:val="20"/>
                <w:lang w:val="it-IT" w:eastAsia="de-CH"/>
              </w:rPr>
              <w:t>Finanziatori: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Dipartimento competente (incl. LFCo)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Programma di integrazione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Terzi (enti pubblici)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Terzi (privati)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0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Partecipanti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  <w:hideMark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 </w:t>
            </w:r>
          </w:p>
        </w:tc>
        <w:tc>
          <w:tcPr>
            <w:tcW w:w="160" w:type="dxa"/>
            <w:shd w:val="clear" w:color="auto" w:fill="auto"/>
            <w:vAlign w:val="bottom"/>
            <w:hideMark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  <w:tr w:rsidR="00404F13">
        <w:trPr>
          <w:trHeight w:val="301"/>
        </w:trPr>
        <w:tc>
          <w:tcPr>
            <w:tcW w:w="6521" w:type="dxa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Costi per i partecipanti (all’ora)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04F13" w:rsidRDefault="00E7261E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  <w:r>
              <w:rPr>
                <w:rFonts w:eastAsia="Times New Roman" w:cs="Arial"/>
                <w:color w:val="000000"/>
                <w:szCs w:val="20"/>
                <w:lang w:val="it-IT" w:eastAsia="de-CH"/>
              </w:rPr>
              <w:t>CHF</w:t>
            </w:r>
          </w:p>
        </w:tc>
        <w:tc>
          <w:tcPr>
            <w:tcW w:w="1760" w:type="dxa"/>
            <w:shd w:val="clear" w:color="000000" w:fill="FCE4D6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4F13" w:rsidRDefault="0040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0"/>
                <w:lang w:val="it-IT" w:eastAsia="de-CH"/>
              </w:rPr>
            </w:pPr>
          </w:p>
        </w:tc>
      </w:tr>
    </w:tbl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Come valutate l’offerta nell’ambito TIC? Sufficiente / insufficiente.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Copertura territoriale: in quali zone le offerte coprono tutto il territorio? Ci sono regioni in cui non esiste nessuna offerta? Per quale motivo?</w:t>
      </w:r>
      <w:r>
        <w:rPr>
          <w:lang w:val="it-IT"/>
        </w:rPr>
        <w:t xml:space="preserve"> 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Raggiungimento del gruppo target: quali sono i gruppi target definiti e interpellati? Ne manca uno? Quali sono le tipologie di offerte disponibili e quali si sono rivelate particolarmente efficaci?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Si registrano tendenze chiare per quanto riguarda età, sesso, situazione lavorativa e livello di istruzione dei partecipanti alle offerte? Quali?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 xml:space="preserve">Come valutate l’offerta? 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sono gli aspetti positivi?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sono le difficoltà?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Le offerte permettono di proseguire la formazione? Quali sono gli argomenti pro o contro la definizione di livelli o temi principali? Mancano livelli o temi principali?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Nei prossimi anni avete intenzione di estendere / mantenere / ridurre l’offerta? Per quale motivo? In che modo?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tabs>
          <w:tab w:val="left" w:pos="426"/>
        </w:tabs>
        <w:ind w:left="142" w:hanging="142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Altre osservazioni su questo ambito: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spacing w:line="240" w:lineRule="auto"/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br w:type="page"/>
      </w:r>
    </w:p>
    <w:p w:rsidR="00404F13" w:rsidRDefault="00E7261E">
      <w:pPr>
        <w:pStyle w:val="Listenabsatz"/>
        <w:numPr>
          <w:ilvl w:val="0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lastRenderedPageBreak/>
        <w:t>Nessuna offerta (moduli KA)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spacing w:line="240" w:lineRule="auto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Quante offerte nei singoli ambiti nono sono state realizzate?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04F13" w:rsidRPr="003B7688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Ambito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Numero di offerte non realizzate</w:t>
            </w:r>
          </w:p>
        </w:tc>
      </w:tr>
      <w:tr w:rsidR="00404F1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Lettura e scrittura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</w:tcPr>
          <w:p w:rsidR="00404F13" w:rsidRDefault="00404F13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</w:p>
        </w:tc>
      </w:tr>
      <w:tr w:rsidR="00404F1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Apprendimento della lingua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</w:tcPr>
          <w:p w:rsidR="00404F13" w:rsidRDefault="00404F13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</w:p>
        </w:tc>
      </w:tr>
      <w:tr w:rsidR="00404F13"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Aritmetica di base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E4D6"/>
          </w:tcPr>
          <w:p w:rsidR="00404F13" w:rsidRDefault="00404F13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</w:p>
        </w:tc>
      </w:tr>
      <w:tr w:rsidR="00404F13">
        <w:tc>
          <w:tcPr>
            <w:tcW w:w="46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F13" w:rsidRDefault="00E7261E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  <w:r>
              <w:rPr>
                <w:rFonts w:eastAsia="Century Gothic" w:cs="Arial"/>
                <w:szCs w:val="20"/>
                <w:lang w:val="it-IT"/>
              </w:rPr>
              <w:t>TIC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CE4D6"/>
          </w:tcPr>
          <w:p w:rsidR="00404F13" w:rsidRDefault="00404F13">
            <w:pPr>
              <w:jc w:val="both"/>
              <w:rPr>
                <w:rFonts w:eastAsia="Century Gothic" w:cs="Arial"/>
                <w:szCs w:val="20"/>
                <w:lang w:val="it-IT"/>
              </w:rPr>
            </w:pPr>
          </w:p>
        </w:tc>
      </w:tr>
    </w:tbl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sono le tipologie e le caratteristiche delle offerte che non è stato possibile realizzare (sede, gruppo target, temi principali/livelli, ecc.)?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ind w:left="284"/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>Ambito Lettura e scrittura</w:t>
      </w:r>
    </w:p>
    <w:p w:rsidR="00404F13" w:rsidRDefault="00404F13">
      <w:pPr>
        <w:ind w:left="284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ind w:left="284"/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>Ambito Apprendimento della lingua</w:t>
      </w:r>
    </w:p>
    <w:p w:rsidR="00404F13" w:rsidRDefault="00404F13">
      <w:pPr>
        <w:ind w:left="284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ind w:left="284"/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>Ambito Aritmetica di base</w:t>
      </w:r>
    </w:p>
    <w:p w:rsidR="00404F13" w:rsidRDefault="00404F13">
      <w:pPr>
        <w:ind w:left="284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ind w:left="284"/>
        <w:jc w:val="both"/>
        <w:rPr>
          <w:rFonts w:eastAsia="Century Gothic" w:cs="Arial"/>
          <w:b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>Ambito TIC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sono i costi generati dalle offerte che non è stato possibile realizzare?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Quali sono secondo voi i motivi per cui non sono state realizzate?</w:t>
      </w:r>
    </w:p>
    <w:p w:rsidR="00404F13" w:rsidRDefault="00404F13">
      <w:pPr>
        <w:pStyle w:val="Listenabsatz"/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1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Altre osservazioni sulle offerte non realizzate: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pStyle w:val="Listenabsatz"/>
        <w:numPr>
          <w:ilvl w:val="0"/>
          <w:numId w:val="20"/>
        </w:numPr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b/>
          <w:szCs w:val="20"/>
          <w:lang w:val="it-IT"/>
        </w:rPr>
        <w:t xml:space="preserve">Osservazioni </w:t>
      </w:r>
      <w:r>
        <w:rPr>
          <w:rFonts w:eastAsia="Century Gothic" w:cs="Arial"/>
          <w:b/>
          <w:szCs w:val="20"/>
          <w:lang w:val="it-IT"/>
        </w:rPr>
        <w:br/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spacing w:after="120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Firma: ………………………………………………………………………….</w:t>
      </w:r>
    </w:p>
    <w:p w:rsidR="00404F13" w:rsidRDefault="00404F13">
      <w:pPr>
        <w:jc w:val="both"/>
        <w:rPr>
          <w:rFonts w:eastAsia="Century Gothic" w:cs="Arial"/>
          <w:szCs w:val="20"/>
          <w:lang w:val="it-IT"/>
        </w:rPr>
      </w:pPr>
    </w:p>
    <w:p w:rsidR="00404F13" w:rsidRDefault="00E7261E">
      <w:pPr>
        <w:spacing w:after="120"/>
        <w:jc w:val="both"/>
        <w:rPr>
          <w:rFonts w:eastAsia="Century Gothic" w:cs="Arial"/>
          <w:szCs w:val="20"/>
          <w:lang w:val="it-IT"/>
        </w:rPr>
      </w:pPr>
      <w:r>
        <w:rPr>
          <w:rFonts w:eastAsia="Century Gothic" w:cs="Arial"/>
          <w:szCs w:val="20"/>
          <w:lang w:val="it-IT"/>
        </w:rPr>
        <w:t>Luogo/data: ……………………………………………………………………………</w:t>
      </w:r>
    </w:p>
    <w:sectPr w:rsidR="00404F1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13" w:rsidRDefault="00E7261E">
      <w:pPr>
        <w:spacing w:line="240" w:lineRule="auto"/>
      </w:pPr>
      <w:r>
        <w:separator/>
      </w:r>
    </w:p>
  </w:endnote>
  <w:endnote w:type="continuationSeparator" w:id="0">
    <w:p w:rsidR="00404F13" w:rsidRDefault="00E72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13" w:rsidRDefault="00404F13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404F13">
      <w:trPr>
        <w:trHeight w:val="567"/>
      </w:trPr>
      <w:tc>
        <w:tcPr>
          <w:tcW w:w="7338" w:type="dxa"/>
          <w:vAlign w:val="bottom"/>
        </w:tcPr>
        <w:p w:rsidR="00404F13" w:rsidRDefault="00805434">
          <w:pPr>
            <w:pStyle w:val="zzPfad"/>
          </w:pPr>
          <w:fldSimple w:instr=" DOCPROPERTY  FSC#EVDCFG@15.1400:Dossierref  \* MERGEFORMAT ">
            <w:r w:rsidR="00E7261E">
              <w:t>011/2011/03844</w:t>
            </w:r>
          </w:fldSimple>
          <w:r w:rsidR="00E7261E">
            <w:t xml:space="preserve"> \ </w:t>
          </w:r>
          <w:fldSimple w:instr=" DOCPROPERTY  FSC#COOSYSTEM@1.1:Container \* MERGEFORMAT ">
            <w:r w:rsidR="00E7261E">
              <w:t>COO.2101.108.3.470634</w:t>
            </w:r>
          </w:fldSimple>
        </w:p>
      </w:tc>
      <w:tc>
        <w:tcPr>
          <w:tcW w:w="2552" w:type="dxa"/>
          <w:vAlign w:val="bottom"/>
        </w:tcPr>
        <w:p w:rsidR="00404F13" w:rsidRDefault="00E7261E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B768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3B7688">
              <w:rPr>
                <w:noProof/>
              </w:rPr>
              <w:t>8</w:t>
            </w:r>
          </w:fldSimple>
        </w:p>
      </w:tc>
    </w:tr>
  </w:tbl>
  <w:p w:rsidR="00404F13" w:rsidRDefault="00404F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404F13">
      <w:trPr>
        <w:trHeight w:val="539"/>
      </w:trPr>
      <w:tc>
        <w:tcPr>
          <w:tcW w:w="4309" w:type="dxa"/>
          <w:vAlign w:val="bottom"/>
        </w:tcPr>
        <w:p w:rsidR="00404F13" w:rsidRDefault="00805434">
          <w:pPr>
            <w:pStyle w:val="zzPfad"/>
          </w:pPr>
          <w:fldSimple w:instr=" DOCPROPERTY  FSC#EVDCFG@15.1400:Dossierref  \* MERGEFORMAT ">
            <w:r w:rsidR="00E7261E">
              <w:t>011/2011/03844</w:t>
            </w:r>
          </w:fldSimple>
          <w:r w:rsidR="00E7261E">
            <w:t xml:space="preserve"> \ </w:t>
          </w:r>
          <w:fldSimple w:instr=" DOCPROPERTY  FSC#COOSYSTEM@1.1:Container \* MERGEFORMAT ">
            <w:r w:rsidR="00E7261E">
              <w:t>COO.2101.108.3.470634</w:t>
            </w:r>
          </w:fldSimple>
        </w:p>
      </w:tc>
      <w:tc>
        <w:tcPr>
          <w:tcW w:w="5297" w:type="dxa"/>
          <w:vAlign w:val="bottom"/>
        </w:tcPr>
        <w:p w:rsidR="00404F13" w:rsidRDefault="00E7261E">
          <w:pPr>
            <w:pStyle w:val="zzSeite"/>
            <w:ind w:right="-573"/>
          </w:pPr>
          <w:r>
            <w:t>1/2</w:t>
          </w:r>
        </w:p>
      </w:tc>
    </w:tr>
  </w:tbl>
  <w:p w:rsidR="00404F13" w:rsidRDefault="00404F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13" w:rsidRDefault="00E7261E">
      <w:pPr>
        <w:spacing w:line="240" w:lineRule="auto"/>
      </w:pPr>
      <w:r>
        <w:separator/>
      </w:r>
    </w:p>
  </w:footnote>
  <w:footnote w:type="continuationSeparator" w:id="0">
    <w:p w:rsidR="00404F13" w:rsidRDefault="00E72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404F13">
      <w:trPr>
        <w:trHeight w:val="340"/>
      </w:trPr>
      <w:tc>
        <w:tcPr>
          <w:tcW w:w="8386" w:type="dxa"/>
        </w:tcPr>
        <w:p w:rsidR="00404F13" w:rsidRDefault="00404F13">
          <w:pPr>
            <w:pStyle w:val="zzReffett"/>
          </w:pPr>
        </w:p>
      </w:tc>
      <w:tc>
        <w:tcPr>
          <w:tcW w:w="879" w:type="dxa"/>
        </w:tcPr>
        <w:p w:rsidR="00404F13" w:rsidRDefault="00404F13">
          <w:pPr>
            <w:pStyle w:val="zzReffett"/>
          </w:pPr>
        </w:p>
      </w:tc>
    </w:tr>
  </w:tbl>
  <w:p w:rsidR="00404F13" w:rsidRDefault="00404F13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404F13">
      <w:trPr>
        <w:cantSplit/>
        <w:trHeight w:hRule="exact" w:val="1843"/>
      </w:trPr>
      <w:tc>
        <w:tcPr>
          <w:tcW w:w="4832" w:type="dxa"/>
          <w:hideMark/>
        </w:tcPr>
        <w:p w:rsidR="00404F13" w:rsidRDefault="00E7261E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A0C584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sp7f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CwKsp7fwMAAKALAAAO&#10;AAAAAAAAAAAAAAAAADoCAABkcnMvZTJvRG9jLnhtbFBLAQItABQABgAIAAAAIQAubPAAxQAAAKUB&#10;AAAZAAAAAAAAAAAAAAAAAOUFAABkcnMvX3JlbHMvZTJvRG9jLnhtbC5yZWxzUEsBAi0AFAAGAAgA&#10;AAAhAGpkBNz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h5jDAAAA2gAAAA8AAABkcnMvZG93bnJldi54bWxEj0FrAjEUhO+C/yE8oTfN1q1StkYRQXTx&#10;Um0vvT02r7tLk5cliev675uC0OMwM98wq81gjejJh9axgudZBoK4crrlWsHnx376CiJEZI3GMSm4&#10;U4DNejxaYaHdjc/UX2ItEoRDgQqaGLtCylA1ZDHMXEecvG/nLcYkfS21x1uCWyPnWbaUFltOCw12&#10;tGuo+rlcrYL33dWb8sXk5aLP+XRsy8PXfaH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CHmM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TWHFAAAA2gAAAA8AAABkcnMvZG93bnJldi54bWxEj0FrwkAUhO8F/8PyhF6kbhRa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Lk1h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:rsidR="00404F13" w:rsidRPr="00267164" w:rsidRDefault="00E7261E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IT" w:eastAsia="de-CH"/>
            </w:rPr>
          </w:pPr>
          <w:r w:rsidRPr="00267164">
            <w:rPr>
              <w:rFonts w:eastAsia="Times New Roman" w:cs="Arial"/>
              <w:noProof/>
              <w:sz w:val="15"/>
              <w:szCs w:val="20"/>
              <w:lang w:val="it-IT" w:eastAsia="de-CH"/>
            </w:rPr>
            <w:t xml:space="preserve">Dipartimento federale dell’economia, </w:t>
          </w:r>
        </w:p>
        <w:p w:rsidR="00404F13" w:rsidRPr="00267164" w:rsidRDefault="00E7261E">
          <w:pPr>
            <w:suppressAutoHyphens/>
            <w:spacing w:after="100"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it-IT" w:eastAsia="de-CH"/>
            </w:rPr>
          </w:pPr>
          <w:r w:rsidRPr="00267164">
            <w:rPr>
              <w:rFonts w:eastAsia="Times New Roman" w:cs="Arial"/>
              <w:noProof/>
              <w:sz w:val="15"/>
              <w:szCs w:val="20"/>
              <w:lang w:val="it-IT" w:eastAsia="de-CH"/>
            </w:rPr>
            <w:t>della formazione e della ricerca DEFR</w:t>
          </w:r>
        </w:p>
        <w:p w:rsidR="00404F13" w:rsidRPr="00267164" w:rsidRDefault="00E7261E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it-IT" w:eastAsia="de-CH"/>
            </w:rPr>
          </w:pPr>
          <w:r w:rsidRPr="00267164">
            <w:rPr>
              <w:rFonts w:eastAsia="Times New Roman" w:cs="Arial"/>
              <w:b/>
              <w:noProof/>
              <w:sz w:val="15"/>
              <w:szCs w:val="20"/>
              <w:lang w:val="it-IT" w:eastAsia="de-CH"/>
            </w:rPr>
            <w:t>Segreteria di Stato per la formazione,</w:t>
          </w:r>
        </w:p>
        <w:p w:rsidR="00404F13" w:rsidRDefault="00E7261E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highlight w:val="yellow"/>
              <w:lang w:eastAsia="de-CH"/>
            </w:rPr>
          </w:pPr>
          <w:r>
            <w:rPr>
              <w:rFonts w:eastAsia="Times New Roman" w:cs="Arial"/>
              <w:b/>
              <w:noProof/>
              <w:sz w:val="15"/>
              <w:szCs w:val="20"/>
              <w:lang w:eastAsia="de-CH"/>
            </w:rPr>
            <w:t>la ricerca e l’innovazione SEFRI</w:t>
          </w:r>
        </w:p>
        <w:p w:rsidR="00404F13" w:rsidRDefault="00E7261E">
          <w:pPr>
            <w:pStyle w:val="zzKopfFett"/>
            <w:ind w:left="-69"/>
            <w:rPr>
              <w:b w:val="0"/>
            </w:rPr>
          </w:pPr>
          <w:r>
            <w:rPr>
              <w:b w:val="0"/>
            </w:rPr>
            <w:t xml:space="preserve"> </w:t>
          </w:r>
        </w:p>
        <w:p w:rsidR="00404F13" w:rsidRDefault="00404F13">
          <w:pPr>
            <w:pStyle w:val="zzKopfOE"/>
            <w:rPr>
              <w:lang w:val="de-DE"/>
            </w:rPr>
          </w:pPr>
        </w:p>
      </w:tc>
    </w:tr>
  </w:tbl>
  <w:p w:rsidR="00404F13" w:rsidRDefault="00404F13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E2BBD"/>
    <w:multiLevelType w:val="multilevel"/>
    <w:tmpl w:val="594AF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D69ED"/>
    <w:multiLevelType w:val="multilevel"/>
    <w:tmpl w:val="701C5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FE6AF5"/>
    <w:multiLevelType w:val="multilevel"/>
    <w:tmpl w:val="1C32F6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66102"/>
    <w:multiLevelType w:val="multilevel"/>
    <w:tmpl w:val="7D34B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13"/>
  </w:num>
  <w:num w:numId="15">
    <w:abstractNumId w:val="18"/>
  </w:num>
  <w:num w:numId="16">
    <w:abstractNumId w:val="11"/>
  </w:num>
  <w:num w:numId="17">
    <w:abstractNumId w:val="16"/>
  </w:num>
  <w:num w:numId="18">
    <w:abstractNumId w:val="7"/>
  </w:num>
  <w:num w:numId="19">
    <w:abstractNumId w:val="10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CH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BK_CD-Bund_2015|SLI"/>
    <w:docVar w:name="TermBaseURL" w:val="empty"/>
    <w:docVar w:name="TextBases" w:val="sf00046a.adb.intra.admin.ch\TextBase TMs\SLI\SLI_SEFRI|sf00046a.adb.intra.admin.ch\TextBase TMs\SLI\SLI_Trados_DE-IT_BBT|sf00046a.adb.intra.admin.ch\TextBase TMs\_WBF\SLC RS 1612 n|sf00046a.adb.intra.admin.ch\TextBase TMs\_WBF\SLC-I Messaggi|sf00046a.adb.intra.admin.ch\TextBase TMs\_WBF\SLC-I Rapporti"/>
    <w:docVar w:name="TextBaseURL" w:val="empty"/>
    <w:docVar w:name="UILng" w:val="fr"/>
  </w:docVars>
  <w:rsids>
    <w:rsidRoot w:val="00404F13"/>
    <w:rsid w:val="00267164"/>
    <w:rsid w:val="003B7688"/>
    <w:rsid w:val="00404F13"/>
    <w:rsid w:val="00805434"/>
    <w:rsid w:val="00CC3954"/>
    <w:rsid w:val="00E7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4017D78-9F0B-4A1E-A4B6-0309B92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</w:style>
  <w:style w:type="character" w:customStyle="1" w:styleId="Formatvorlage9">
    <w:name w:val="Formatvorlage9"/>
    <w:basedOn w:val="Absatz-Standardschriftart"/>
    <w:uiPriority w:val="1"/>
    <w:rPr>
      <w:rFonts w:ascii="Arial" w:hAnsi="Arial"/>
      <w:b/>
      <w:color w:val="auto"/>
      <w:sz w:val="28"/>
    </w:rPr>
  </w:style>
  <w:style w:type="paragraph" w:styleId="berarbeitung">
    <w:name w:val="Revision"/>
    <w:hidden/>
    <w:uiPriority w:val="99"/>
    <w:semiHidden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_kantonale_Bestandsaufnahme_IT_V2"/>
    <f:field ref="objsubject" par="" edit="true" text=""/>
    <f:field ref="objcreatedby" par="" text="Widmer, Priska, SBFI "/>
    <f:field ref="objcreatedat" par="" text="24.05.2017 14:46:02"/>
    <f:field ref="objchangedby" par="" text="Widmer, Priska, SBFI "/>
    <f:field ref="objmodifiedat" par="" text="24.05.2017 14:46:04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Raster_kantonale_Bestandsaufnahme_IT_V2"/>
    <f:field ref="CHPRECONFIG_1_1001_Objektname" par="" edit="true" text="Raster_kantonale_Bestandsaufnahme_IT_V2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77D9D1-0EF4-4FC6-8746-DBE4042E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8387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Widmer Priska SBFI</cp:lastModifiedBy>
  <cp:revision>2</cp:revision>
  <cp:lastPrinted>2017-01-03T08:15:00Z</cp:lastPrinted>
  <dcterms:created xsi:type="dcterms:W3CDTF">2018-01-24T16:03:00Z</dcterms:created>
  <dcterms:modified xsi:type="dcterms:W3CDTF">2018-01-24T16:03:00Z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2017-05-24T14:46:02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COO.2101.108.4.529246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 und Projektförderung (SPF / SBFI)</vt:lpwstr>
  </property>
  <property fmtid="{D5CDD505-2E9C-101B-9397-08002B2CF9AE}" pid="31" name="FSC#COOELAK@1.1001:CreatedAt">
    <vt:lpwstr>24.05.2017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*COO.2101.108.4.529246*</vt:lpwstr>
  </property>
  <property fmtid="{D5CDD505-2E9C-101B-9397-08002B2CF9AE}" pid="35" name="FSC#COOELAK@1.1001:RefBarCode">
    <vt:lpwstr>*COO.2101.108.7.529248*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Raster_kantonale_Bestandsaufnahme_IT_V2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Raster_kantonale_Bestandsaufnahme_IT_V2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011/2011/03844/00031/00003/00004/00005/00022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