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81BDC" w14:textId="2E74A1E4" w:rsidR="0026444A" w:rsidRDefault="0026444A">
      <w:pPr>
        <w:spacing w:before="1060"/>
        <w:ind w:left="-567"/>
        <w:rPr>
          <w:rFonts w:ascii="Arial" w:hAnsi="Arial"/>
          <w:i/>
          <w:sz w:val="18"/>
          <w:u w:val="single"/>
        </w:rPr>
      </w:pPr>
      <w:bookmarkStart w:id="0" w:name="_GoBack"/>
      <w:bookmarkEnd w:id="0"/>
    </w:p>
    <w:p w14:paraId="4A05A66E" w14:textId="7CA12249" w:rsidR="0026444A" w:rsidRDefault="0026444A">
      <w:pPr>
        <w:tabs>
          <w:tab w:val="left" w:leader="dot" w:pos="1418"/>
          <w:tab w:val="right" w:pos="1701"/>
        </w:tabs>
        <w:spacing w:before="120"/>
        <w:ind w:left="-567"/>
        <w:rPr>
          <w:rFonts w:ascii="Arial" w:hAnsi="Arial"/>
          <w:sz w:val="18"/>
        </w:rPr>
      </w:pPr>
    </w:p>
    <w:p w14:paraId="3F2B0CC4" w14:textId="004F361E" w:rsidR="005925CC" w:rsidRDefault="00470BB3" w:rsidP="005925CC">
      <w:pPr>
        <w:tabs>
          <w:tab w:val="left" w:leader="dot" w:pos="1418"/>
          <w:tab w:val="right" w:pos="1701"/>
        </w:tabs>
        <w:ind w:left="-567"/>
        <w:rPr>
          <w:rFonts w:ascii="Arial" w:hAnsi="Arial"/>
          <w:sz w:val="18"/>
        </w:rPr>
      </w:pPr>
      <w:hyperlink r:id="rId9" w:history="1"/>
    </w:p>
    <w:p w14:paraId="03716056" w14:textId="5C3E3217" w:rsidR="005925CC" w:rsidRDefault="005925CC" w:rsidP="005925CC">
      <w:pPr>
        <w:tabs>
          <w:tab w:val="left" w:leader="dot" w:pos="1418"/>
          <w:tab w:val="right" w:pos="1701"/>
        </w:tabs>
        <w:ind w:left="-567"/>
        <w:rPr>
          <w:rFonts w:ascii="Arial" w:hAnsi="Arial"/>
          <w:sz w:val="18"/>
        </w:rPr>
      </w:pPr>
    </w:p>
    <w:p w14:paraId="706D3DD9" w14:textId="20371407" w:rsidR="005925CC" w:rsidRDefault="005925CC" w:rsidP="005925CC">
      <w:pPr>
        <w:tabs>
          <w:tab w:val="left" w:leader="dot" w:pos="1418"/>
          <w:tab w:val="right" w:pos="1701"/>
        </w:tabs>
        <w:ind w:left="-567"/>
        <w:rPr>
          <w:rFonts w:ascii="Arial" w:hAnsi="Arial"/>
          <w:sz w:val="18"/>
        </w:rPr>
      </w:pPr>
    </w:p>
    <w:p w14:paraId="275C7291" w14:textId="4FA072D4" w:rsidR="0026444A" w:rsidRDefault="0026444A">
      <w:pPr>
        <w:tabs>
          <w:tab w:val="left" w:leader="dot" w:pos="1418"/>
          <w:tab w:val="right" w:pos="1701"/>
        </w:tabs>
        <w:ind w:left="-567"/>
        <w:rPr>
          <w:rFonts w:ascii="Arial" w:hAnsi="Arial"/>
          <w:sz w:val="18"/>
        </w:rPr>
      </w:pPr>
    </w:p>
    <w:p w14:paraId="7CF69B71" w14:textId="77777777" w:rsidR="0026444A" w:rsidRDefault="0026444A">
      <w:pPr>
        <w:ind w:left="-567"/>
        <w:rPr>
          <w:rFonts w:ascii="Arial" w:hAnsi="Arial"/>
          <w:sz w:val="22"/>
        </w:rPr>
      </w:pPr>
    </w:p>
    <w:p w14:paraId="454DE72E" w14:textId="77777777" w:rsidR="005925CC" w:rsidRPr="005925CC" w:rsidRDefault="005925CC" w:rsidP="005925CC">
      <w:pPr>
        <w:ind w:left="4536"/>
        <w:rPr>
          <w:rFonts w:ascii="Arial" w:hAnsi="Arial"/>
          <w:sz w:val="22"/>
          <w:u w:val="single"/>
        </w:rPr>
      </w:pPr>
      <w:r w:rsidRPr="005925CC">
        <w:rPr>
          <w:rFonts w:ascii="Arial" w:hAnsi="Arial"/>
          <w:sz w:val="22"/>
          <w:u w:val="single"/>
        </w:rPr>
        <w:t>Envoi par courrier électronique</w:t>
      </w:r>
    </w:p>
    <w:p w14:paraId="361CD33D" w14:textId="77777777" w:rsidR="005925CC" w:rsidRPr="005925CC" w:rsidRDefault="005925CC" w:rsidP="005925CC">
      <w:pPr>
        <w:ind w:left="4536"/>
        <w:rPr>
          <w:rFonts w:ascii="Arial" w:hAnsi="Arial"/>
          <w:sz w:val="22"/>
        </w:rPr>
      </w:pPr>
    </w:p>
    <w:p w14:paraId="2580557C" w14:textId="77777777" w:rsidR="005925CC" w:rsidRPr="005925CC" w:rsidRDefault="005925CC" w:rsidP="005925CC">
      <w:pPr>
        <w:ind w:left="4536"/>
        <w:rPr>
          <w:rFonts w:ascii="Arial" w:hAnsi="Arial"/>
          <w:sz w:val="22"/>
        </w:rPr>
      </w:pPr>
      <w:r w:rsidRPr="005925CC">
        <w:rPr>
          <w:rFonts w:ascii="Arial" w:hAnsi="Arial"/>
          <w:sz w:val="22"/>
        </w:rPr>
        <w:t>Département fédéral de l'économie, de la formation et de la recherche (DEFR)</w:t>
      </w:r>
    </w:p>
    <w:p w14:paraId="6CE41D0C" w14:textId="77777777" w:rsidR="005925CC" w:rsidRPr="005925CC" w:rsidRDefault="005925CC" w:rsidP="005925CC">
      <w:pPr>
        <w:ind w:left="4536"/>
        <w:rPr>
          <w:rFonts w:ascii="Arial" w:hAnsi="Arial"/>
          <w:sz w:val="22"/>
        </w:rPr>
      </w:pPr>
      <w:r w:rsidRPr="005925CC">
        <w:rPr>
          <w:rFonts w:ascii="Arial" w:hAnsi="Arial"/>
          <w:sz w:val="22"/>
        </w:rPr>
        <w:t>Palais fédéral est</w:t>
      </w:r>
    </w:p>
    <w:p w14:paraId="5329AA9C" w14:textId="77777777" w:rsidR="0026444A" w:rsidRDefault="005925CC" w:rsidP="005925CC">
      <w:pPr>
        <w:ind w:left="4536"/>
        <w:rPr>
          <w:rFonts w:ascii="Arial" w:hAnsi="Arial"/>
          <w:sz w:val="22"/>
        </w:rPr>
      </w:pPr>
      <w:r w:rsidRPr="005925CC">
        <w:rPr>
          <w:rFonts w:ascii="Arial" w:hAnsi="Arial"/>
          <w:sz w:val="22"/>
        </w:rPr>
        <w:t>3003 Berne</w:t>
      </w:r>
    </w:p>
    <w:p w14:paraId="138669C8" w14:textId="77777777" w:rsidR="0026444A" w:rsidRDefault="0026444A">
      <w:pPr>
        <w:ind w:left="4536"/>
        <w:rPr>
          <w:rFonts w:ascii="Arial" w:hAnsi="Arial"/>
          <w:sz w:val="22"/>
        </w:rPr>
      </w:pPr>
    </w:p>
    <w:p w14:paraId="5C80ACA9" w14:textId="77777777" w:rsidR="0026444A" w:rsidRDefault="0026444A">
      <w:pPr>
        <w:rPr>
          <w:rFonts w:ascii="Arial" w:hAnsi="Arial"/>
          <w:sz w:val="22"/>
        </w:rPr>
      </w:pPr>
    </w:p>
    <w:p w14:paraId="0303949C" w14:textId="77777777" w:rsidR="0026444A" w:rsidRDefault="0026444A">
      <w:pPr>
        <w:rPr>
          <w:rFonts w:ascii="Arial" w:hAnsi="Arial"/>
          <w:sz w:val="22"/>
        </w:rPr>
      </w:pPr>
    </w:p>
    <w:p w14:paraId="5EBDB8A4" w14:textId="77777777" w:rsidR="0026444A" w:rsidRDefault="0026444A">
      <w:pPr>
        <w:rPr>
          <w:rFonts w:ascii="Arial" w:hAnsi="Arial"/>
          <w:sz w:val="22"/>
        </w:rPr>
      </w:pPr>
    </w:p>
    <w:p w14:paraId="4740D41D" w14:textId="77777777" w:rsidR="0026444A" w:rsidRDefault="005925CC">
      <w:pPr>
        <w:rPr>
          <w:rFonts w:ascii="Arial" w:hAnsi="Arial"/>
          <w:b/>
          <w:sz w:val="22"/>
        </w:rPr>
      </w:pPr>
      <w:r>
        <w:rPr>
          <w:rFonts w:ascii="Arial" w:hAnsi="Arial"/>
          <w:b/>
          <w:sz w:val="22"/>
        </w:rPr>
        <w:t>Modification de la loi sur les EFP – Prise de position</w:t>
      </w:r>
    </w:p>
    <w:p w14:paraId="54168430" w14:textId="77777777" w:rsidR="0026444A" w:rsidRDefault="0026444A">
      <w:pPr>
        <w:rPr>
          <w:rFonts w:ascii="Arial" w:hAnsi="Arial"/>
          <w:sz w:val="22"/>
        </w:rPr>
      </w:pPr>
    </w:p>
    <w:p w14:paraId="1764F6ED" w14:textId="77777777" w:rsidR="0026444A" w:rsidRDefault="0026444A">
      <w:pPr>
        <w:rPr>
          <w:rFonts w:ascii="Arial" w:hAnsi="Arial"/>
          <w:sz w:val="22"/>
        </w:rPr>
      </w:pPr>
    </w:p>
    <w:p w14:paraId="629BCADC" w14:textId="77777777" w:rsidR="0026444A" w:rsidRDefault="005925CC">
      <w:pPr>
        <w:rPr>
          <w:rFonts w:ascii="Arial" w:hAnsi="Arial"/>
          <w:sz w:val="22"/>
        </w:rPr>
      </w:pPr>
      <w:r>
        <w:rPr>
          <w:rFonts w:ascii="Arial" w:hAnsi="Arial" w:cs="Arial"/>
          <w:sz w:val="22"/>
          <w:szCs w:val="22"/>
        </w:rPr>
        <w:t>Monsieur le conseiller fédéral</w:t>
      </w:r>
      <w:r w:rsidR="00235026">
        <w:rPr>
          <w:rFonts w:ascii="Arial" w:hAnsi="Arial"/>
          <w:sz w:val="22"/>
        </w:rPr>
        <w:t>,</w:t>
      </w:r>
    </w:p>
    <w:p w14:paraId="2F30430E" w14:textId="77777777" w:rsidR="0026444A" w:rsidRDefault="0026444A">
      <w:pPr>
        <w:rPr>
          <w:rFonts w:ascii="Arial" w:hAnsi="Arial"/>
          <w:sz w:val="22"/>
        </w:rPr>
      </w:pPr>
    </w:p>
    <w:p w14:paraId="04A3ABD5" w14:textId="77777777" w:rsidR="00B51999" w:rsidRDefault="00B51999" w:rsidP="00B51999">
      <w:pPr>
        <w:jc w:val="both"/>
        <w:rPr>
          <w:rFonts w:ascii="Arial" w:hAnsi="Arial"/>
          <w:sz w:val="22"/>
        </w:rPr>
      </w:pPr>
      <w:r>
        <w:rPr>
          <w:rFonts w:ascii="Arial" w:hAnsi="Arial"/>
          <w:sz w:val="22"/>
        </w:rPr>
        <w:t xml:space="preserve">Nous remercions le Département fédéral de l’économie, de la formation et de la recherche d’avoir consulté le canton de Neuchâtel sur la modification de la loi sur </w:t>
      </w:r>
      <w:r w:rsidR="00115BD4">
        <w:rPr>
          <w:rFonts w:ascii="Arial" w:hAnsi="Arial"/>
          <w:sz w:val="22"/>
        </w:rPr>
        <w:t>les écoles polytechniques</w:t>
      </w:r>
      <w:r>
        <w:rPr>
          <w:rFonts w:ascii="Arial" w:hAnsi="Arial"/>
          <w:sz w:val="22"/>
        </w:rPr>
        <w:t xml:space="preserve"> fédérales (EPF).</w:t>
      </w:r>
    </w:p>
    <w:p w14:paraId="6A2002FF" w14:textId="77777777" w:rsidR="00B51999" w:rsidRDefault="00B51999" w:rsidP="00B51999">
      <w:pPr>
        <w:jc w:val="both"/>
        <w:rPr>
          <w:rFonts w:ascii="Arial" w:hAnsi="Arial"/>
          <w:sz w:val="22"/>
        </w:rPr>
      </w:pPr>
    </w:p>
    <w:p w14:paraId="54D5461D" w14:textId="77777777" w:rsidR="005925CC" w:rsidRPr="009610F9" w:rsidRDefault="00B51999" w:rsidP="00B51999">
      <w:pPr>
        <w:jc w:val="both"/>
        <w:rPr>
          <w:rFonts w:ascii="Arial" w:hAnsi="Arial"/>
          <w:sz w:val="22"/>
        </w:rPr>
      </w:pPr>
      <w:r>
        <w:rPr>
          <w:rFonts w:ascii="Arial" w:hAnsi="Arial"/>
          <w:sz w:val="22"/>
        </w:rPr>
        <w:t>Les documents qui nous ont été remis à cette occasion ont été soigneusement examinés et nous permettent de vous faire part de nos observations.</w:t>
      </w:r>
    </w:p>
    <w:p w14:paraId="7013FAFE" w14:textId="77777777" w:rsidR="005925CC" w:rsidRDefault="005925CC" w:rsidP="005925CC">
      <w:pPr>
        <w:jc w:val="both"/>
        <w:rPr>
          <w:rFonts w:ascii="Arial" w:hAnsi="Arial"/>
          <w:sz w:val="22"/>
        </w:rPr>
      </w:pPr>
    </w:p>
    <w:p w14:paraId="04433760" w14:textId="77777777" w:rsidR="005925CC" w:rsidRDefault="005925CC" w:rsidP="005925CC">
      <w:pPr>
        <w:jc w:val="both"/>
        <w:rPr>
          <w:rFonts w:ascii="Arial" w:hAnsi="Arial"/>
          <w:sz w:val="22"/>
        </w:rPr>
      </w:pPr>
      <w:r w:rsidRPr="009610F9">
        <w:rPr>
          <w:rFonts w:ascii="Arial" w:hAnsi="Arial"/>
          <w:sz w:val="22"/>
        </w:rPr>
        <w:t>Le Conseil d’État partage l’avis, exprimé dans le rapport explicatif, que les modifications proposées n’emportent pas de conséquences spécifiques pour les cantons. Il prend acte des propositions de nouvelles dispositions et se limite à commenter les prescriptions concernant le Conseil des EPF et la politique du personnel.</w:t>
      </w:r>
    </w:p>
    <w:p w14:paraId="049DFBB4" w14:textId="77777777" w:rsidR="005925CC" w:rsidRDefault="005925CC" w:rsidP="005925CC">
      <w:pPr>
        <w:jc w:val="both"/>
        <w:rPr>
          <w:rFonts w:ascii="Arial" w:hAnsi="Arial"/>
          <w:sz w:val="22"/>
        </w:rPr>
      </w:pPr>
    </w:p>
    <w:p w14:paraId="39D8399B" w14:textId="77777777" w:rsidR="005925CC" w:rsidRPr="009610F9" w:rsidRDefault="005925CC" w:rsidP="005925CC">
      <w:pPr>
        <w:jc w:val="both"/>
        <w:rPr>
          <w:rFonts w:ascii="Arial" w:hAnsi="Arial"/>
          <w:sz w:val="22"/>
        </w:rPr>
      </w:pPr>
      <w:r w:rsidRPr="009610F9">
        <w:rPr>
          <w:rFonts w:ascii="Arial" w:hAnsi="Arial"/>
          <w:sz w:val="22"/>
        </w:rPr>
        <w:t>Avec cette révision partielle sont introduits les deux principes directeurs du gouvernement d’entreprise relatifs à la séparation entre les niveaux stratégique et opérationnel. Le Conseil d’État salue l’esprit de cette nouvelle réglementation, qui renforce l’indépendance du Conseil des EPF et contribue ainsi à optimiser la conduite stratégique. Dans ce sens, s’il constate la tendance forte de soumettre la gouvernance d’établissement de formation et de recherche aux principes</w:t>
      </w:r>
      <w:r>
        <w:rPr>
          <w:rFonts w:ascii="Arial" w:hAnsi="Arial"/>
          <w:sz w:val="22"/>
        </w:rPr>
        <w:t xml:space="preserve"> de la gouvernance d’entreprise</w:t>
      </w:r>
      <w:r w:rsidRPr="009610F9">
        <w:rPr>
          <w:rFonts w:ascii="Arial" w:hAnsi="Arial"/>
          <w:sz w:val="22"/>
        </w:rPr>
        <w:t>, le Conseil d’État est rassuré de relever que les spécificités des premières l’ont emporté et que la pratique actuelle, qui permet notamment la présence des membres institutionnels au Conseil des EPF, est maintenue. Les cautèles prévues en matière de droit de vote des membres institutionnels paraissent légitimes.</w:t>
      </w:r>
    </w:p>
    <w:p w14:paraId="0481ECA0" w14:textId="77777777" w:rsidR="005925CC" w:rsidRPr="009610F9" w:rsidRDefault="005925CC" w:rsidP="005925CC">
      <w:pPr>
        <w:jc w:val="both"/>
        <w:rPr>
          <w:rFonts w:ascii="Arial" w:hAnsi="Arial"/>
          <w:sz w:val="22"/>
        </w:rPr>
      </w:pPr>
    </w:p>
    <w:p w14:paraId="6803B64E" w14:textId="77777777" w:rsidR="005925CC" w:rsidRDefault="005925CC" w:rsidP="005925CC">
      <w:pPr>
        <w:jc w:val="both"/>
        <w:rPr>
          <w:rFonts w:ascii="Arial" w:hAnsi="Arial"/>
          <w:sz w:val="22"/>
        </w:rPr>
      </w:pPr>
      <w:r w:rsidRPr="009610F9">
        <w:rPr>
          <w:rFonts w:ascii="Arial" w:hAnsi="Arial"/>
          <w:sz w:val="22"/>
        </w:rPr>
        <w:t xml:space="preserve">Le projet de loi aménage également de nouvelles possibilités en matière de rapport de travail, notamment, sur requête des professeures, l’égalité de traitement quant à l’âge de la retraite ou l’engagement de professeurs-es au moyen de contrats de travail de droit privé. Le Conseil d’État comprend le besoin de souplesse, afin de mieux répondre aux besoins réels du monde académique. En même temps, il s’interroge sur l’éventuelle évolution de la politique du personnel vers une rémunération forfaitaire. Pareillement, si les acteurs du </w:t>
      </w:r>
      <w:r w:rsidRPr="009610F9">
        <w:rPr>
          <w:rFonts w:ascii="Arial" w:hAnsi="Arial"/>
          <w:sz w:val="22"/>
        </w:rPr>
        <w:lastRenderedPageBreak/>
        <w:t xml:space="preserve">paysage des hautes écoles en Suisse souhaitent promouvoir réellement la relève scientifique, il semble aussi primordial de garantir à l’avenir des conditions de travail qui conjurent le risque d’une précarisation des </w:t>
      </w:r>
      <w:r>
        <w:rPr>
          <w:rFonts w:ascii="Arial" w:hAnsi="Arial"/>
          <w:sz w:val="22"/>
        </w:rPr>
        <w:t>emplois.</w:t>
      </w:r>
      <w:r w:rsidRPr="009610F9">
        <w:rPr>
          <w:rFonts w:ascii="Arial" w:hAnsi="Arial"/>
          <w:sz w:val="22"/>
        </w:rPr>
        <w:t xml:space="preserve"> </w:t>
      </w:r>
      <w:r>
        <w:rPr>
          <w:rFonts w:ascii="Arial" w:hAnsi="Arial"/>
          <w:sz w:val="22"/>
        </w:rPr>
        <w:t>Il n’est pas exclu</w:t>
      </w:r>
      <w:r w:rsidR="00B51999">
        <w:rPr>
          <w:rFonts w:ascii="Arial" w:hAnsi="Arial"/>
          <w:sz w:val="22"/>
        </w:rPr>
        <w:t xml:space="preserve"> de penser que</w:t>
      </w:r>
      <w:r>
        <w:rPr>
          <w:rFonts w:ascii="Arial" w:hAnsi="Arial"/>
          <w:sz w:val="22"/>
        </w:rPr>
        <w:t xml:space="preserve"> de permettre </w:t>
      </w:r>
      <w:r w:rsidRPr="009610F9">
        <w:rPr>
          <w:rFonts w:ascii="Arial" w:hAnsi="Arial"/>
          <w:sz w:val="22"/>
        </w:rPr>
        <w:t>la multiplication de contrats succe</w:t>
      </w:r>
      <w:r w:rsidR="00AB2F4E">
        <w:rPr>
          <w:rFonts w:ascii="Arial" w:hAnsi="Arial"/>
          <w:sz w:val="22"/>
        </w:rPr>
        <w:t>ssifs favorise cette évolution, ce qui n’est pas souhaitable à nos yeux.</w:t>
      </w:r>
    </w:p>
    <w:p w14:paraId="6B1A2FBF" w14:textId="77777777" w:rsidR="005925CC" w:rsidRPr="009610F9" w:rsidRDefault="005925CC" w:rsidP="005925CC">
      <w:pPr>
        <w:jc w:val="both"/>
        <w:rPr>
          <w:rFonts w:ascii="Arial" w:hAnsi="Arial"/>
          <w:sz w:val="22"/>
        </w:rPr>
      </w:pPr>
    </w:p>
    <w:p w14:paraId="3A4D8C2B" w14:textId="77777777" w:rsidR="0026444A" w:rsidRDefault="005925CC" w:rsidP="005925CC">
      <w:pPr>
        <w:jc w:val="both"/>
        <w:rPr>
          <w:rFonts w:ascii="Arial" w:hAnsi="Arial"/>
          <w:sz w:val="22"/>
        </w:rPr>
      </w:pPr>
      <w:r w:rsidRPr="009610F9">
        <w:rPr>
          <w:rFonts w:ascii="Arial" w:hAnsi="Arial"/>
          <w:sz w:val="22"/>
        </w:rPr>
        <w:t xml:space="preserve">En vous remerciant d'avoir sollicité notre avis, nous vous prions de croire, </w:t>
      </w:r>
      <w:r>
        <w:rPr>
          <w:rFonts w:ascii="Arial" w:hAnsi="Arial" w:cs="Arial"/>
          <w:sz w:val="22"/>
          <w:szCs w:val="22"/>
        </w:rPr>
        <w:t>Monsieur le conseiller fédéral</w:t>
      </w:r>
      <w:r w:rsidRPr="009610F9">
        <w:rPr>
          <w:rFonts w:ascii="Arial" w:hAnsi="Arial"/>
          <w:sz w:val="22"/>
        </w:rPr>
        <w:t xml:space="preserve">, </w:t>
      </w:r>
      <w:r>
        <w:rPr>
          <w:rFonts w:ascii="Arial" w:hAnsi="Arial"/>
          <w:sz w:val="22"/>
        </w:rPr>
        <w:t>à l’expression de notre haute considération</w:t>
      </w:r>
      <w:r w:rsidRPr="009610F9">
        <w:rPr>
          <w:rFonts w:ascii="Arial" w:hAnsi="Arial"/>
          <w:sz w:val="22"/>
        </w:rPr>
        <w:t>.</w:t>
      </w:r>
    </w:p>
    <w:p w14:paraId="1398C6A2" w14:textId="77777777" w:rsidR="0026444A" w:rsidRDefault="0026444A">
      <w:pPr>
        <w:jc w:val="both"/>
        <w:rPr>
          <w:rFonts w:ascii="Arial" w:hAnsi="Arial"/>
          <w:sz w:val="22"/>
        </w:rPr>
      </w:pPr>
    </w:p>
    <w:p w14:paraId="789E185D" w14:textId="77777777" w:rsidR="0026444A" w:rsidRDefault="0026444A">
      <w:pPr>
        <w:jc w:val="both"/>
        <w:rPr>
          <w:rFonts w:ascii="Arial" w:hAnsi="Arial"/>
          <w:sz w:val="22"/>
        </w:rPr>
      </w:pPr>
    </w:p>
    <w:p w14:paraId="54A43CAD" w14:textId="77777777" w:rsidR="0026444A" w:rsidRDefault="0026444A">
      <w:pPr>
        <w:rPr>
          <w:rFonts w:ascii="Arial" w:hAnsi="Arial"/>
          <w:sz w:val="22"/>
        </w:rPr>
      </w:pPr>
    </w:p>
    <w:p w14:paraId="65DF6713" w14:textId="77777777" w:rsidR="0026444A" w:rsidRDefault="00235026">
      <w:pPr>
        <w:pStyle w:val="Adresse"/>
        <w:ind w:left="0" w:firstLine="0"/>
        <w:jc w:val="both"/>
        <w:rPr>
          <w:rFonts w:ascii="Arial" w:hAnsi="Arial"/>
          <w:sz w:val="22"/>
        </w:rPr>
      </w:pPr>
      <w:r>
        <w:rPr>
          <w:rFonts w:ascii="Arial" w:hAnsi="Arial"/>
          <w:sz w:val="22"/>
        </w:rPr>
        <w:t xml:space="preserve">Neuchâtel, le </w:t>
      </w:r>
      <w:r w:rsidR="00B51999">
        <w:rPr>
          <w:rFonts w:ascii="Arial" w:hAnsi="Arial"/>
          <w:sz w:val="22"/>
        </w:rPr>
        <w:t>6</w:t>
      </w:r>
      <w:r w:rsidR="005925CC">
        <w:rPr>
          <w:rFonts w:ascii="Arial" w:hAnsi="Arial"/>
          <w:sz w:val="22"/>
        </w:rPr>
        <w:t xml:space="preserve"> mars 2019</w:t>
      </w:r>
    </w:p>
    <w:p w14:paraId="304531F8" w14:textId="77777777" w:rsidR="0026444A" w:rsidRDefault="0026444A">
      <w:pPr>
        <w:pStyle w:val="Adresse"/>
        <w:ind w:left="0" w:firstLine="0"/>
        <w:jc w:val="both"/>
        <w:rPr>
          <w:rFonts w:ascii="Arial" w:hAnsi="Arial"/>
          <w:sz w:val="22"/>
        </w:rPr>
      </w:pPr>
    </w:p>
    <w:p w14:paraId="7B534024" w14:textId="77777777" w:rsidR="0026444A" w:rsidRDefault="00C578A8">
      <w:pPr>
        <w:tabs>
          <w:tab w:val="left" w:pos="6237"/>
        </w:tabs>
        <w:spacing w:after="120"/>
        <w:ind w:left="3969"/>
        <w:rPr>
          <w:rFonts w:ascii="Arial" w:hAnsi="Arial"/>
          <w:sz w:val="22"/>
        </w:rPr>
      </w:pPr>
      <w:r>
        <w:rPr>
          <w:rFonts w:ascii="Arial" w:hAnsi="Arial"/>
          <w:sz w:val="22"/>
        </w:rPr>
        <w:t>Au nom du Conseil d'É</w:t>
      </w:r>
      <w:r w:rsidR="00235026">
        <w:rPr>
          <w:rFonts w:ascii="Arial" w:hAnsi="Arial"/>
          <w:sz w:val="22"/>
        </w:rPr>
        <w:t>tat</w:t>
      </w:r>
      <w:r>
        <w:rPr>
          <w:rFonts w:ascii="Arial" w:hAnsi="Arial"/>
          <w:sz w:val="22"/>
        </w:rPr>
        <w:t xml:space="preserve"> </w:t>
      </w:r>
      <w:r w:rsidR="00235026">
        <w:rPr>
          <w:rFonts w:ascii="Arial" w:hAnsi="Arial"/>
          <w:sz w:val="22"/>
        </w:rPr>
        <w:t>:</w:t>
      </w:r>
    </w:p>
    <w:p w14:paraId="48B8459B" w14:textId="77777777" w:rsidR="0026444A" w:rsidRDefault="002751A0">
      <w:pPr>
        <w:tabs>
          <w:tab w:val="left" w:pos="6237"/>
        </w:tabs>
        <w:ind w:left="3969"/>
        <w:rPr>
          <w:rFonts w:ascii="Arial" w:hAnsi="Arial"/>
          <w:i/>
          <w:sz w:val="22"/>
        </w:rPr>
      </w:pPr>
      <w:r>
        <w:rPr>
          <w:rFonts w:ascii="Arial" w:hAnsi="Arial"/>
          <w:i/>
          <w:sz w:val="22"/>
        </w:rPr>
        <w:t>Le président,</w:t>
      </w:r>
      <w:r>
        <w:rPr>
          <w:rFonts w:ascii="Arial" w:hAnsi="Arial"/>
          <w:i/>
          <w:sz w:val="22"/>
        </w:rPr>
        <w:tab/>
        <w:t>La chanceliè</w:t>
      </w:r>
      <w:r w:rsidR="00235026">
        <w:rPr>
          <w:rFonts w:ascii="Arial" w:hAnsi="Arial"/>
          <w:i/>
          <w:sz w:val="22"/>
        </w:rPr>
        <w:t>r</w:t>
      </w:r>
      <w:r>
        <w:rPr>
          <w:rFonts w:ascii="Arial" w:hAnsi="Arial"/>
          <w:i/>
          <w:sz w:val="22"/>
        </w:rPr>
        <w:t>e</w:t>
      </w:r>
      <w:r w:rsidR="00235026">
        <w:rPr>
          <w:rFonts w:ascii="Arial" w:hAnsi="Arial"/>
          <w:i/>
          <w:sz w:val="22"/>
        </w:rPr>
        <w:t>,</w:t>
      </w:r>
    </w:p>
    <w:p w14:paraId="720478CB" w14:textId="77777777" w:rsidR="0026444A" w:rsidRDefault="005925CC">
      <w:pPr>
        <w:tabs>
          <w:tab w:val="left" w:pos="6237"/>
        </w:tabs>
        <w:ind w:left="3969"/>
        <w:rPr>
          <w:rFonts w:ascii="Arial" w:hAnsi="Arial"/>
          <w:smallCaps/>
          <w:sz w:val="22"/>
        </w:rPr>
      </w:pPr>
      <w:r w:rsidRPr="00E459F8">
        <w:rPr>
          <w:rFonts w:ascii="Arial" w:hAnsi="Arial"/>
          <w:smallCaps/>
          <w:sz w:val="22"/>
          <w:lang w:val="fr-CH"/>
        </w:rPr>
        <w:t>L. Kurth</w:t>
      </w:r>
      <w:r w:rsidR="002751A0">
        <w:rPr>
          <w:rFonts w:ascii="Arial" w:hAnsi="Arial"/>
          <w:smallCaps/>
          <w:sz w:val="22"/>
        </w:rPr>
        <w:tab/>
        <w:t>S. Despland</w:t>
      </w:r>
    </w:p>
    <w:p w14:paraId="336ECF80" w14:textId="77777777" w:rsidR="0026444A" w:rsidRDefault="0026444A" w:rsidP="00017A3D">
      <w:pPr>
        <w:overflowPunct/>
        <w:autoSpaceDE/>
        <w:autoSpaceDN/>
        <w:adjustRightInd/>
        <w:textAlignment w:val="auto"/>
        <w:rPr>
          <w:rFonts w:ascii="Arial" w:hAnsi="Arial"/>
          <w:sz w:val="22"/>
        </w:rPr>
      </w:pPr>
    </w:p>
    <w:sectPr w:rsidR="0026444A" w:rsidSect="008C7389">
      <w:footerReference w:type="default" r:id="rId10"/>
      <w:headerReference w:type="first" r:id="rId11"/>
      <w:footerReference w:type="first" r:id="rId12"/>
      <w:pgSz w:w="11907" w:h="16840" w:code="9"/>
      <w:pgMar w:top="1202" w:right="1418" w:bottom="1922" w:left="1418" w:header="397" w:footer="13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159ED" w14:textId="77777777" w:rsidR="00290229" w:rsidRDefault="00290229">
      <w:r>
        <w:separator/>
      </w:r>
    </w:p>
  </w:endnote>
  <w:endnote w:type="continuationSeparator" w:id="0">
    <w:p w14:paraId="1277B709" w14:textId="77777777" w:rsidR="00290229" w:rsidRDefault="00290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E631B" w14:textId="10071E33" w:rsidR="008C7389" w:rsidRPr="008C7389" w:rsidRDefault="008C7389" w:rsidP="008C7389">
    <w:pPr>
      <w:pStyle w:val="Fuzeile"/>
      <w:jc w:val="right"/>
      <w:rPr>
        <w:rFonts w:ascii="Arial" w:hAnsi="Arial" w:cs="Arial"/>
        <w:sz w:val="22"/>
        <w:szCs w:val="22"/>
      </w:rPr>
    </w:pPr>
    <w:r w:rsidRPr="008C7389">
      <w:rPr>
        <w:rFonts w:ascii="Arial" w:hAnsi="Arial" w:cs="Arial"/>
        <w:sz w:val="22"/>
        <w:szCs w:val="22"/>
      </w:rPr>
      <w:fldChar w:fldCharType="begin"/>
    </w:r>
    <w:r w:rsidRPr="008C7389">
      <w:rPr>
        <w:rFonts w:ascii="Arial" w:hAnsi="Arial" w:cs="Arial"/>
        <w:sz w:val="22"/>
        <w:szCs w:val="22"/>
      </w:rPr>
      <w:instrText>PAGE   \* MERGEFORMAT</w:instrText>
    </w:r>
    <w:r w:rsidRPr="008C7389">
      <w:rPr>
        <w:rFonts w:ascii="Arial" w:hAnsi="Arial" w:cs="Arial"/>
        <w:sz w:val="22"/>
        <w:szCs w:val="22"/>
      </w:rPr>
      <w:fldChar w:fldCharType="separate"/>
    </w:r>
    <w:r w:rsidR="00470BB3">
      <w:rPr>
        <w:rFonts w:ascii="Arial" w:hAnsi="Arial" w:cs="Arial"/>
        <w:noProof/>
        <w:sz w:val="22"/>
        <w:szCs w:val="22"/>
      </w:rPr>
      <w:t>2</w:t>
    </w:r>
    <w:r w:rsidRPr="008C7389">
      <w:rPr>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CF005" w14:textId="77777777" w:rsidR="0026444A" w:rsidRDefault="0026444A">
    <w:pPr>
      <w:pStyle w:val="Fuzeile"/>
      <w:jc w:val="right"/>
      <w:rPr>
        <w:rFonts w:ascii="Arial" w:hAnsi="Arial"/>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7BC91" w14:textId="77777777" w:rsidR="00290229" w:rsidRDefault="00290229">
      <w:r>
        <w:separator/>
      </w:r>
    </w:p>
  </w:footnote>
  <w:footnote w:type="continuationSeparator" w:id="0">
    <w:p w14:paraId="60690AC1" w14:textId="77777777" w:rsidR="00290229" w:rsidRDefault="00290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5F0FC" w14:textId="2FD9A04D" w:rsidR="0026444A" w:rsidRDefault="00235026">
    <w:pPr>
      <w:pStyle w:val="Kopfzeile"/>
      <w:jc w:val="right"/>
      <w:rPr>
        <w:b/>
        <w:bCs/>
      </w:rPr>
    </w:pPr>
    <w:r>
      <w:rPr>
        <w:b/>
        <w:bCs/>
      </w:rPr>
      <w:fldChar w:fldCharType="begin" w:fldLock="1"/>
    </w:r>
    <w:r>
      <w:rPr>
        <w:b/>
        <w:bCs/>
      </w:rPr>
      <w:instrText xml:space="preserve"> FILLIN "sigle du département" \* Upper </w:instrText>
    </w:r>
    <w:r>
      <w:rPr>
        <w:b/>
        <w:bC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999"/>
    <w:rsid w:val="00017A3D"/>
    <w:rsid w:val="00033F29"/>
    <w:rsid w:val="00115BD4"/>
    <w:rsid w:val="001D2D30"/>
    <w:rsid w:val="001E50C9"/>
    <w:rsid w:val="00235026"/>
    <w:rsid w:val="0026444A"/>
    <w:rsid w:val="002751A0"/>
    <w:rsid w:val="00290229"/>
    <w:rsid w:val="002E4F8B"/>
    <w:rsid w:val="00333759"/>
    <w:rsid w:val="003C3EC0"/>
    <w:rsid w:val="00470BB3"/>
    <w:rsid w:val="00591852"/>
    <w:rsid w:val="005925CC"/>
    <w:rsid w:val="007D74CA"/>
    <w:rsid w:val="0089406B"/>
    <w:rsid w:val="008C7389"/>
    <w:rsid w:val="009624FB"/>
    <w:rsid w:val="00AB2F4E"/>
    <w:rsid w:val="00B51999"/>
    <w:rsid w:val="00C578A8"/>
    <w:rsid w:val="00CE2FF1"/>
    <w:rsid w:val="00DD16A4"/>
    <w:rsid w:val="00E459F8"/>
    <w:rsid w:val="00FC72C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F96299"/>
  <w15:docId w15:val="{8FCCFDE6-74E2-4D5B-8DDB-C67B716F1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Arial" w:hAnsi="Arial"/>
      <w:sz w:val="22"/>
    </w:rPr>
  </w:style>
  <w:style w:type="paragraph" w:styleId="Fuzeile">
    <w:name w:val="footer"/>
    <w:basedOn w:val="Standard"/>
    <w:semiHidden/>
    <w:pPr>
      <w:tabs>
        <w:tab w:val="center" w:pos="4536"/>
        <w:tab w:val="right" w:pos="9072"/>
      </w:tabs>
    </w:pPr>
  </w:style>
  <w:style w:type="paragraph" w:customStyle="1" w:styleId="Adresse">
    <w:name w:val="Adresse"/>
    <w:basedOn w:val="Standard"/>
    <w:pPr>
      <w:ind w:left="4536" w:hanging="4536"/>
    </w:pPr>
  </w:style>
  <w:style w:type="character" w:styleId="Seitenzahl">
    <w:name w:val="page number"/>
    <w:basedOn w:val="Absatz-Standardschriftart"/>
    <w:semiHidden/>
  </w:style>
  <w:style w:type="character" w:styleId="Platzhaltertext">
    <w:name w:val="Placeholder Text"/>
    <w:basedOn w:val="Absatz-Standardschriftart"/>
    <w:uiPriority w:val="99"/>
    <w:semiHidden/>
    <w:rsid w:val="00333759"/>
    <w:rPr>
      <w:color w:val="808080"/>
    </w:rPr>
  </w:style>
  <w:style w:type="paragraph" w:styleId="Sprechblasentext">
    <w:name w:val="Balloon Text"/>
    <w:basedOn w:val="Standard"/>
    <w:link w:val="SprechblasentextZchn"/>
    <w:uiPriority w:val="99"/>
    <w:semiHidden/>
    <w:unhideWhenUsed/>
    <w:rsid w:val="0033375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3759"/>
    <w:rPr>
      <w:rFonts w:ascii="Tahoma" w:hAnsi="Tahoma" w:cs="Tahoma"/>
      <w:sz w:val="16"/>
      <w:szCs w:val="16"/>
      <w:lang w:val="fr-FR" w:eastAsia="fr-FR"/>
    </w:rPr>
  </w:style>
  <w:style w:type="character" w:styleId="Hyperlink">
    <w:name w:val="Hyperlink"/>
    <w:basedOn w:val="Absatz-Standardschriftart"/>
    <w:uiPriority w:val="99"/>
    <w:unhideWhenUsed/>
    <w:rsid w:val="005925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christina.baumann@sbfi.admin.ch"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sit\Desktop\LettreCE_Loi_EPF.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D6D0CD6BF3D14787506FE4ED847216" ma:contentTypeVersion="0" ma:contentTypeDescription="Create a new document." ma:contentTypeScope="" ma:versionID="34874c08a208ac81a9b6d00faf0263e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7113B-7D46-4357-B9C1-776CADB37E5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9A50C3B-F3E0-45E1-B3D2-128177ED2859}">
  <ds:schemaRefs>
    <ds:schemaRef ds:uri="http://schemas.microsoft.com/sharepoint/v3/contenttype/forms"/>
  </ds:schemaRefs>
</ds:datastoreItem>
</file>

<file path=customXml/itemProps3.xml><?xml version="1.0" encoding="utf-8"?>
<ds:datastoreItem xmlns:ds="http://schemas.openxmlformats.org/officeDocument/2006/customXml" ds:itemID="{F89609B9-F6DF-4C23-9B5D-DE1D8F031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LettreCE_Loi_EPF</Template>
  <TotalTime>0</TotalTime>
  <Pages>2</Pages>
  <Words>408</Words>
  <Characters>2573</Characters>
  <Application>Microsoft Office Word</Application>
  <DocSecurity>4</DocSecurity>
  <Lines>21</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Modèle de lettre du Conseil d'État</vt:lpstr>
      <vt:lpstr>Modèle de lettre du Conseil d'État</vt:lpstr>
    </vt:vector>
  </TitlesOfParts>
  <Company>Etat de Neuchâtel</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lettre du Conseil d'État</dc:title>
  <dc:creator>Tosi Tiphaine</dc:creator>
  <cp:lastModifiedBy>Baumann Christina SBFI</cp:lastModifiedBy>
  <cp:revision>2</cp:revision>
  <cp:lastPrinted>2019-03-06T13:34:00Z</cp:lastPrinted>
  <dcterms:created xsi:type="dcterms:W3CDTF">2019-03-06T13:39:00Z</dcterms:created>
  <dcterms:modified xsi:type="dcterms:W3CDTF">2019-03-06T13:39:00Z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0x010100D0D6D0CD6BF3D14787506FE4ED847216</vt:lpwstr>
  </property>
  <property fmtid="{D5CDD505-2E9C-101B-9397-08002B2CF9AE}" pid="3" name="_dlc_policyId">
    <vt:lpwstr/>
  </property>
  <property fmtid="{D5CDD505-2E9C-101B-9397-08002B2CF9AE}" pid="4" name="ItemRetentionFormula">
    <vt:lpwstr/>
  </property>
  <property fmtid="{D5CDD505-2E9C-101B-9397-08002B2CF9AE}" pid="5" name="IntraNeTargetAudience">
    <vt:lpwstr>1;#Administration cantonale|9e3ca1ef-67b7-4457-a1ff-e655024e850a</vt:lpwstr>
  </property>
  <property fmtid="{D5CDD505-2E9C-101B-9397-08002B2CF9AE}" pid="6" name="TaxKeyword">
    <vt:lpwstr/>
  </property>
  <property fmtid="{D5CDD505-2E9C-101B-9397-08002B2CF9AE}" pid="7" name="IntraNeThematic">
    <vt:lpwstr/>
  </property>
  <property fmtid="{D5CDD505-2E9C-101B-9397-08002B2CF9AE}" pid="8" name="IntraNeInformationsType">
    <vt:lpwstr>44;#Modèle|327cf4ed-fa14-4c82-93c0-be942edcff16;#47;#Lettre|1dd06396-f97a-4d35-9689-2937cfed7117</vt:lpwstr>
  </property>
  <property fmtid="{D5CDD505-2E9C-101B-9397-08002B2CF9AE}" pid="9" name="IntraNeTransmitter">
    <vt:lpwstr>15;#CHAN|ba9d7f64-c9fb-4547-84bc-ea85752d9e4e</vt:lpwstr>
  </property>
  <property fmtid="{D5CDD505-2E9C-101B-9397-08002B2CF9AE}" pid="10" name="_dlc_DocIdItemGuid">
    <vt:lpwstr>e7cf35de-a529-4c5c-bc52-11736d1ded7d</vt:lpwstr>
  </property>
  <property fmtid="{D5CDD505-2E9C-101B-9397-08002B2CF9AE}" pid="11" name="metaData2">
    <vt:lpwstr>metadata value 2</vt:lpwstr>
  </property>
  <property fmtid="{D5CDD505-2E9C-101B-9397-08002B2CF9AE}" pid="12" name="metaData1">
    <vt:lpwstr>metadata value 1</vt:lpwstr>
  </property>
</Properties>
</file>