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spacing w:before="120" w:after="120" w:line="360" w:lineRule="auto"/>
        <w:jc w:val="both"/>
        <w:rPr>
          <w:b/>
          <w:sz w:val="18"/>
          <w:szCs w:val="18"/>
          <w:lang w:val="it-IT"/>
        </w:rPr>
      </w:pPr>
      <w:r>
        <w:rPr>
          <w:b/>
          <w:noProof/>
          <w:sz w:val="36"/>
          <w:szCs w:val="36"/>
          <w:lang w:val="fr-CH" w:eastAsia="fr-CH"/>
        </w:rPr>
        <mc:AlternateContent>
          <mc:Choice Requires="wps">
            <w:drawing>
              <wp:inline distT="0" distB="0" distL="0" distR="0">
                <wp:extent cx="5819775" cy="2543175"/>
                <wp:effectExtent l="0" t="0" r="28575" b="28575"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9775" cy="2543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r>
                              <w:t xml:space="preserve">LOGO </w:t>
                            </w:r>
                          </w:p>
                          <w:p>
                            <w:pPr>
                              <w:rPr>
                                <w:lang w:val="it-CH"/>
                              </w:rPr>
                            </w:pPr>
                            <w:r>
                              <w:rPr>
                                <w:lang w:val="it-CH"/>
                              </w:rPr>
                              <w:t>Ente responsabile</w:t>
                            </w:r>
                          </w:p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" o:spid="_x0000_s1026" style="width:458.25pt;height:20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odTJwIAAEgEAAAOAAAAZHJzL2Uyb0RvYy54bWysVFFv0zAQfkfiP1h+p2lCw9qo6TR1FCEN&#10;mBj8AMdxEgvHNme3Sfn1Oztd1wFPiDxYPt/nz3ff3WV9PfaKHAQ4aXRJ09mcEqG5qaVuS/r92+7N&#10;khLnma6ZMlqU9Cgcvd68frUebCEy0xlVCyBIol0x2JJ23tsiSRzvRM/czFih0dkY6JlHE9qkBjYg&#10;e6+SbD5/lwwGaguGC+fw9HZy0k3kbxrB/ZemccITVVKMzccV4lqFNdmsWdECs53kpzDYP0TRM6nx&#10;0TPVLfOM7EH+QdVLDsaZxs+46RPTNJKLmANmk85/y+ahY1bEXFAcZ88yuf9Hyz8f7oHIuqQLSjTr&#10;sURfUTSmWyVIFuQZrCsQ9WDvISTo7J3hPxzRZtshStwAmKETrMag0oBPXlwIhsOrpBo+mRrZ2d6b&#10;qNTYQB8IUQMyxoIczwURoyccD/Nlurq6yinh6MvyxdsUjfAGK56uW3D+gzA9CZuSAgYf6dnhzvkJ&#10;+gSJ4Rsl651UKhrQVlsF5MCwO3bxO7G7S5jSZCjpKs/yyPzC5y4p5vH7G0UvPba5kn1Jl2cQK4Ju&#10;73WNYbLCM6mmPWan9EnIoN1UAz9WIwKDoJWpjygpmKmdcfxw0xn4RcmArVxS93PPQFCiPmosyypd&#10;LELvR2ORX2VowKWnuvQwzZGqpJ6Sabv107zsLci2w5fSKIM2N1jKRkaRn6M6xY3tGst0Gq0wD5d2&#10;RD3/ADaPAAAA//8DAFBLAwQUAAYACAAAACEAgdPQKtwAAAAFAQAADwAAAGRycy9kb3ducmV2Lnht&#10;bEyPwU7DMBBE70j9B2uRuFG7hVY0xKkqUJE4tumlt028JIF4HcVOG/h6DJf2stJoRjNv0/VoW3Gi&#10;3jeONcymCgRx6UzDlYZDvr1/AuEDssHWMWn4Jg/rbHKTYmLcmXd02odKxBL2CWqoQ+gSKX1Zk0U/&#10;dR1x9D5cbzFE2VfS9HiO5baVc6WW0mLDcaHGjl5qKr/2g9VQNPMD/uzyN2VX24fwPuafw/FV67vb&#10;cfMMItAYLmH4w4/okEWmwg1svGg1xEfC/43earZcgCg0PCq1AJml8po++wUAAP//AwBQSwECLQAU&#10;AAYACAAAACEAtoM4kv4AAADhAQAAEwAAAAAAAAAAAAAAAAAAAAAAW0NvbnRlbnRfVHlwZXNdLnht&#10;bFBLAQItABQABgAIAAAAIQA4/SH/1gAAAJQBAAALAAAAAAAAAAAAAAAAAC8BAABfcmVscy8ucmVs&#10;c1BLAQItABQABgAIAAAAIQCSHodTJwIAAEgEAAAOAAAAAAAAAAAAAAAAAC4CAABkcnMvZTJvRG9j&#10;LnhtbFBLAQItABQABgAIAAAAIQCB09Aq3AAAAAUBAAAPAAAAAAAAAAAAAAAAAIEEAABkcnMvZG93&#10;bnJldi54bWxQSwUGAAAAAAQABADzAAAAigUAAAAA&#10;">
                <v:textbox>
                  <w:txbxContent>
                    <w:p>
                      <w:r>
                        <w:t xml:space="preserve">LOGO </w:t>
                      </w:r>
                    </w:p>
                    <w:p>
                      <w:pPr>
                        <w:rPr>
                          <w:lang w:val="it-CH"/>
                        </w:rPr>
                      </w:pPr>
                      <w:r>
                        <w:rPr>
                          <w:lang w:val="it-CH"/>
                        </w:rPr>
                        <w:t>Ente responsabile</w:t>
                      </w:r>
                    </w:p>
                    <w:p/>
                  </w:txbxContent>
                </v:textbox>
                <w10:anchorlock/>
              </v:rect>
            </w:pict>
          </mc:Fallback>
        </mc:AlternateContent>
      </w:r>
      <w:r>
        <w:rPr>
          <w:b/>
          <w:sz w:val="36"/>
          <w:szCs w:val="36"/>
          <w:lang w:val="it-IT"/>
        </w:rPr>
        <w:t>Programma di informazione e preparazione (PIP) per i responsabili della formazione professionale</w:t>
      </w:r>
    </w:p>
    <w:p>
      <w:pPr>
        <w:spacing w:after="120"/>
        <w:jc w:val="both"/>
        <w:rPr>
          <w:sz w:val="20"/>
          <w:lang w:val="it-IT" w:eastAsia="de-CH"/>
        </w:rPr>
      </w:pPr>
      <w:r>
        <w:rPr>
          <w:sz w:val="20"/>
          <w:lang w:val="it-IT" w:eastAsia="de-CH"/>
        </w:rPr>
        <w:t xml:space="preserve">relativo alla </w:t>
      </w:r>
      <w:r>
        <w:rPr>
          <w:color w:val="FF0000"/>
          <w:sz w:val="20"/>
          <w:lang w:val="it-IT" w:eastAsia="de-CH"/>
        </w:rPr>
        <w:t>revisione</w:t>
      </w:r>
      <w:r>
        <w:rPr>
          <w:sz w:val="20"/>
          <w:lang w:val="it-IT" w:eastAsia="de-CH"/>
        </w:rPr>
        <w:t xml:space="preserve"> dell’ordinanza della </w:t>
      </w:r>
      <w:proofErr w:type="spellStart"/>
      <w:r>
        <w:rPr>
          <w:sz w:val="20"/>
          <w:lang w:val="it-IT" w:eastAsia="de-CH"/>
        </w:rPr>
        <w:t>SEFRI</w:t>
      </w:r>
      <w:proofErr w:type="spellEnd"/>
      <w:r>
        <w:rPr>
          <w:sz w:val="20"/>
          <w:lang w:val="it-IT" w:eastAsia="de-CH"/>
        </w:rPr>
        <w:t xml:space="preserve"> sulla formazione professionale di base</w:t>
      </w:r>
    </w:p>
    <w:p>
      <w:pPr>
        <w:spacing w:before="360" w:after="120"/>
        <w:jc w:val="both"/>
        <w:rPr>
          <w:b/>
          <w:color w:val="FF0000"/>
          <w:sz w:val="36"/>
          <w:szCs w:val="36"/>
          <w:lang w:val="it-IT" w:eastAsia="de-CH"/>
        </w:rPr>
      </w:pPr>
      <w:r>
        <w:rPr>
          <w:b/>
          <w:color w:val="FF0000"/>
          <w:sz w:val="36"/>
          <w:szCs w:val="36"/>
          <w:lang w:val="it-IT" w:eastAsia="de-CH"/>
        </w:rPr>
        <w:t>[titolo f/ titolo m]</w:t>
      </w:r>
    </w:p>
    <w:p>
      <w:pPr>
        <w:spacing w:before="960" w:after="120"/>
        <w:jc w:val="both"/>
        <w:rPr>
          <w:b/>
          <w:sz w:val="20"/>
          <w:lang w:val="it-IT" w:eastAsia="de-CH"/>
        </w:rPr>
      </w:pPr>
      <w:r>
        <w:rPr>
          <w:b/>
          <w:sz w:val="20"/>
          <w:lang w:val="it-IT" w:eastAsia="de-CH"/>
        </w:rPr>
        <w:t xml:space="preserve">Numero della professione </w:t>
      </w:r>
      <w:r>
        <w:rPr>
          <w:b/>
          <w:color w:val="FF0000"/>
          <w:sz w:val="20"/>
          <w:lang w:val="it-IT" w:eastAsia="de-CH"/>
        </w:rPr>
        <w:t>[numero]</w:t>
      </w:r>
    </w:p>
    <w:p>
      <w:pPr>
        <w:spacing w:before="720" w:after="120"/>
        <w:jc w:val="both"/>
        <w:rPr>
          <w:b/>
          <w:sz w:val="28"/>
          <w:szCs w:val="28"/>
          <w:lang w:val="it-IT" w:eastAsia="de-CH"/>
        </w:rPr>
      </w:pPr>
      <w:r>
        <w:rPr>
          <w:b/>
          <w:sz w:val="28"/>
          <w:szCs w:val="28"/>
          <w:lang w:val="it-IT" w:eastAsia="de-CH"/>
        </w:rPr>
        <w:t xml:space="preserve">La commissione </w:t>
      </w:r>
      <w:proofErr w:type="spellStart"/>
      <w:r>
        <w:rPr>
          <w:b/>
          <w:sz w:val="28"/>
          <w:szCs w:val="28"/>
          <w:lang w:val="it-IT" w:eastAsia="de-CH"/>
        </w:rPr>
        <w:t>SP&amp;Q</w:t>
      </w:r>
      <w:proofErr w:type="spellEnd"/>
      <w:r>
        <w:rPr>
          <w:b/>
          <w:sz w:val="28"/>
          <w:szCs w:val="28"/>
          <w:lang w:val="it-IT" w:eastAsia="de-CH"/>
        </w:rPr>
        <w:t xml:space="preserve"> </w:t>
      </w:r>
      <w:r>
        <w:rPr>
          <w:b/>
          <w:color w:val="FF0000"/>
          <w:sz w:val="28"/>
          <w:szCs w:val="28"/>
          <w:lang w:val="it-IT" w:eastAsia="de-CH"/>
        </w:rPr>
        <w:t>[denominazione]</w:t>
      </w:r>
      <w:r>
        <w:rPr>
          <w:b/>
          <w:sz w:val="28"/>
          <w:szCs w:val="28"/>
          <w:lang w:val="it-IT" w:eastAsia="de-CH"/>
        </w:rPr>
        <w:t xml:space="preserve"> si è pronunciata sul presente PIP in data </w:t>
      </w:r>
      <w:r>
        <w:rPr>
          <w:b/>
          <w:color w:val="FF0000"/>
          <w:sz w:val="28"/>
          <w:szCs w:val="28"/>
          <w:lang w:val="it-IT" w:eastAsia="de-CH"/>
        </w:rPr>
        <w:t>[data]</w:t>
      </w:r>
      <w:r>
        <w:rPr>
          <w:b/>
          <w:sz w:val="28"/>
          <w:szCs w:val="28"/>
          <w:lang w:val="it-IT" w:eastAsia="de-CH"/>
        </w:rPr>
        <w:t xml:space="preserve">. </w:t>
      </w:r>
    </w:p>
    <w:p>
      <w:pPr>
        <w:spacing w:after="120"/>
        <w:jc w:val="both"/>
        <w:rPr>
          <w:b/>
          <w:color w:val="FF0000"/>
          <w:sz w:val="28"/>
          <w:szCs w:val="28"/>
          <w:lang w:val="it-IT" w:eastAsia="de-CH"/>
        </w:rPr>
      </w:pPr>
      <w:r>
        <w:rPr>
          <w:b/>
          <w:color w:val="FF0000"/>
          <w:sz w:val="28"/>
          <w:szCs w:val="28"/>
          <w:lang w:val="it-IT" w:eastAsia="de-CH"/>
        </w:rPr>
        <w:t>[elencare le eventuali versioni]</w:t>
      </w:r>
    </w:p>
    <w:p>
      <w:pPr>
        <w:spacing w:after="1080"/>
        <w:jc w:val="both"/>
        <w:rPr>
          <w:b/>
          <w:color w:val="FF0000"/>
          <w:sz w:val="28"/>
          <w:szCs w:val="28"/>
          <w:lang w:val="it-IT" w:eastAsia="de-CH"/>
        </w:rPr>
      </w:pPr>
      <w:r>
        <w:rPr>
          <w:b/>
          <w:color w:val="FF0000"/>
          <w:sz w:val="28"/>
          <w:szCs w:val="28"/>
          <w:lang w:val="it-IT" w:eastAsia="de-CH"/>
        </w:rPr>
        <w:t>L’attuale versione del PIP è consultabile su: [www.indirizzo]</w:t>
      </w:r>
    </w:p>
    <w:tbl>
      <w:tblPr>
        <w:tblW w:w="87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9D9D9"/>
        <w:tblLook w:val="04A0" w:firstRow="1" w:lastRow="0" w:firstColumn="1" w:lastColumn="0" w:noHBand="0" w:noVBand="1"/>
      </w:tblPr>
      <w:tblGrid>
        <w:gridCol w:w="8745"/>
      </w:tblGrid>
      <w:tr>
        <w:trPr>
          <w:trHeight w:val="774"/>
        </w:trPr>
        <w:tc>
          <w:tcPr>
            <w:tcW w:w="8745" w:type="dxa"/>
            <w:shd w:val="clear" w:color="auto" w:fill="D9D9D9"/>
          </w:tcPr>
          <w:p>
            <w:pPr>
              <w:spacing w:before="120"/>
              <w:jc w:val="both"/>
              <w:rPr>
                <w:b/>
                <w:szCs w:val="22"/>
                <w:lang w:val="it-IT"/>
              </w:rPr>
            </w:pPr>
            <w:r>
              <w:rPr>
                <w:b/>
                <w:szCs w:val="22"/>
                <w:lang w:val="it-IT"/>
              </w:rPr>
              <w:t>Il presente modello di riferimento funge da ausilio orientativo e di lavoro per redigere il programma di informazione e preparazione per i responsabili della formazione professionale.</w:t>
            </w:r>
          </w:p>
        </w:tc>
      </w:tr>
    </w:tbl>
    <w:p>
      <w:pPr>
        <w:spacing w:before="480" w:after="120" w:line="360" w:lineRule="auto"/>
        <w:jc w:val="both"/>
        <w:rPr>
          <w:b/>
          <w:bCs/>
          <w:szCs w:val="22"/>
          <w:lang w:val="it-IT"/>
        </w:rPr>
      </w:pPr>
      <w:r>
        <w:rPr>
          <w:b/>
          <w:bCs/>
          <w:szCs w:val="22"/>
          <w:lang w:val="it-IT"/>
        </w:rPr>
        <w:t>Modello di riferimento del 17.08.2020</w:t>
      </w:r>
    </w:p>
    <w:p>
      <w:pPr>
        <w:spacing w:before="120" w:after="120" w:line="360" w:lineRule="auto"/>
        <w:jc w:val="both"/>
        <w:rPr>
          <w:b/>
          <w:bCs/>
          <w:sz w:val="30"/>
          <w:szCs w:val="28"/>
          <w:lang w:val="it-IT" w:eastAsia="de-CH"/>
        </w:rPr>
      </w:pPr>
      <w:r>
        <w:rPr>
          <w:lang w:val="it-IT"/>
        </w:rPr>
        <w:br w:type="page"/>
      </w:r>
      <w:bookmarkStart w:id="0" w:name="_Toc393096011"/>
      <w:r>
        <w:rPr>
          <w:b/>
          <w:bCs/>
          <w:sz w:val="30"/>
          <w:szCs w:val="28"/>
          <w:lang w:val="it-IT" w:eastAsia="de-CH"/>
        </w:rPr>
        <w:lastRenderedPageBreak/>
        <w:t>Indice</w:t>
      </w:r>
    </w:p>
    <w:p>
      <w:pPr>
        <w:pStyle w:val="Verzeichnis1"/>
        <w:rPr>
          <w:rFonts w:asciiTheme="minorHAnsi" w:eastAsiaTheme="minorEastAsia" w:hAnsiTheme="minorHAnsi" w:cstheme="minorBidi"/>
          <w:b w:val="0"/>
          <w:bCs w:val="0"/>
          <w:noProof/>
          <w:szCs w:val="22"/>
          <w:lang w:val="it-CH" w:eastAsia="it-CH"/>
        </w:rPr>
      </w:pPr>
      <w:r>
        <w:rPr>
          <w:lang w:val="it-IT"/>
        </w:rPr>
        <w:fldChar w:fldCharType="begin"/>
      </w:r>
      <w:r>
        <w:rPr>
          <w:lang w:val="it-IT"/>
        </w:rPr>
        <w:instrText xml:space="preserve"> TOC \o "1-3" \h \z \u </w:instrText>
      </w:r>
      <w:r>
        <w:rPr>
          <w:lang w:val="it-IT"/>
        </w:rPr>
        <w:fldChar w:fldCharType="separate"/>
      </w:r>
      <w:hyperlink w:anchor="_Toc46301562" w:history="1">
        <w:r>
          <w:rPr>
            <w:rStyle w:val="Hyperlink"/>
            <w:noProof/>
          </w:rPr>
          <w:t>1.</w:t>
        </w:r>
        <w:r>
          <w:rPr>
            <w:rFonts w:asciiTheme="minorHAnsi" w:eastAsiaTheme="minorEastAsia" w:hAnsiTheme="minorHAnsi" w:cstheme="minorBidi"/>
            <w:b w:val="0"/>
            <w:bCs w:val="0"/>
            <w:noProof/>
            <w:szCs w:val="22"/>
            <w:lang w:val="it-CH" w:eastAsia="it-CH"/>
          </w:rPr>
          <w:tab/>
        </w:r>
        <w:r>
          <w:rPr>
            <w:rStyle w:val="Hyperlink"/>
            <w:noProof/>
          </w:rPr>
          <w:t>Obiettivi del programma di informazione e preparazione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_Toc46301562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>
      <w:pPr>
        <w:pStyle w:val="Verzeichnis1"/>
        <w:rPr>
          <w:rFonts w:asciiTheme="minorHAnsi" w:eastAsiaTheme="minorEastAsia" w:hAnsiTheme="minorHAnsi" w:cstheme="minorBidi"/>
          <w:b w:val="0"/>
          <w:bCs w:val="0"/>
          <w:noProof/>
          <w:szCs w:val="22"/>
          <w:lang w:val="it-CH" w:eastAsia="it-CH"/>
        </w:rPr>
      </w:pPr>
      <w:hyperlink w:anchor="_Toc46301563" w:history="1">
        <w:r>
          <w:rPr>
            <w:rStyle w:val="Hyperlink"/>
            <w:noProof/>
          </w:rPr>
          <w:t>2.</w:t>
        </w:r>
        <w:r>
          <w:rPr>
            <w:rFonts w:asciiTheme="minorHAnsi" w:eastAsiaTheme="minorEastAsia" w:hAnsiTheme="minorHAnsi" w:cstheme="minorBidi"/>
            <w:b w:val="0"/>
            <w:bCs w:val="0"/>
            <w:noProof/>
            <w:szCs w:val="22"/>
            <w:lang w:val="it-CH" w:eastAsia="it-CH"/>
          </w:rPr>
          <w:tab/>
        </w:r>
        <w:r>
          <w:rPr>
            <w:rStyle w:val="Hyperlink"/>
            <w:noProof/>
          </w:rPr>
          <w:t>Condizioni quadro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_Toc46301563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>
      <w:pPr>
        <w:pStyle w:val="Verzeichnis1"/>
        <w:rPr>
          <w:rFonts w:asciiTheme="minorHAnsi" w:eastAsiaTheme="minorEastAsia" w:hAnsiTheme="minorHAnsi" w:cstheme="minorBidi"/>
          <w:b w:val="0"/>
          <w:bCs w:val="0"/>
          <w:noProof/>
          <w:szCs w:val="22"/>
          <w:lang w:val="it-CH" w:eastAsia="it-CH"/>
        </w:rPr>
      </w:pPr>
      <w:hyperlink w:anchor="_Toc46301564" w:history="1">
        <w:r>
          <w:rPr>
            <w:rStyle w:val="Hyperlink"/>
            <w:noProof/>
          </w:rPr>
          <w:t>3.</w:t>
        </w:r>
        <w:r>
          <w:rPr>
            <w:rFonts w:asciiTheme="minorHAnsi" w:eastAsiaTheme="minorEastAsia" w:hAnsiTheme="minorHAnsi" w:cstheme="minorBidi"/>
            <w:b w:val="0"/>
            <w:bCs w:val="0"/>
            <w:noProof/>
            <w:szCs w:val="22"/>
            <w:lang w:val="it-CH" w:eastAsia="it-CH"/>
          </w:rPr>
          <w:tab/>
        </w:r>
        <w:r>
          <w:rPr>
            <w:rStyle w:val="Hyperlink"/>
            <w:noProof/>
          </w:rPr>
          <w:t>Misure di informazione: competenza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_Toc46301564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>
      <w:pPr>
        <w:pStyle w:val="Verzeichnis1"/>
        <w:rPr>
          <w:rFonts w:asciiTheme="minorHAnsi" w:eastAsiaTheme="minorEastAsia" w:hAnsiTheme="minorHAnsi" w:cstheme="minorBidi"/>
          <w:b w:val="0"/>
          <w:bCs w:val="0"/>
          <w:noProof/>
          <w:szCs w:val="22"/>
          <w:lang w:val="it-CH" w:eastAsia="it-CH"/>
        </w:rPr>
      </w:pPr>
      <w:hyperlink w:anchor="_Toc46301565" w:history="1">
        <w:r>
          <w:rPr>
            <w:rStyle w:val="Hyperlink"/>
            <w:noProof/>
          </w:rPr>
          <w:t>4.</w:t>
        </w:r>
        <w:r>
          <w:rPr>
            <w:rFonts w:asciiTheme="minorHAnsi" w:eastAsiaTheme="minorEastAsia" w:hAnsiTheme="minorHAnsi" w:cstheme="minorBidi"/>
            <w:b w:val="0"/>
            <w:bCs w:val="0"/>
            <w:noProof/>
            <w:szCs w:val="22"/>
            <w:lang w:val="it-CH" w:eastAsia="it-CH"/>
          </w:rPr>
          <w:tab/>
        </w:r>
        <w:r>
          <w:rPr>
            <w:rStyle w:val="Hyperlink"/>
            <w:noProof/>
          </w:rPr>
          <w:t>Misure di preparazione: competenza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_Toc46301565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>
      <w:pPr>
        <w:pStyle w:val="Verzeichnis1"/>
        <w:rPr>
          <w:rFonts w:asciiTheme="minorHAnsi" w:eastAsiaTheme="minorEastAsia" w:hAnsiTheme="minorHAnsi" w:cstheme="minorBidi"/>
          <w:b w:val="0"/>
          <w:bCs w:val="0"/>
          <w:noProof/>
          <w:szCs w:val="22"/>
          <w:lang w:val="it-CH" w:eastAsia="it-CH"/>
        </w:rPr>
      </w:pPr>
      <w:hyperlink w:anchor="_Toc46301566" w:history="1">
        <w:r>
          <w:rPr>
            <w:rStyle w:val="Hyperlink"/>
            <w:noProof/>
          </w:rPr>
          <w:t>5.</w:t>
        </w:r>
        <w:r>
          <w:rPr>
            <w:rFonts w:asciiTheme="minorHAnsi" w:eastAsiaTheme="minorEastAsia" w:hAnsiTheme="minorHAnsi" w:cstheme="minorBidi"/>
            <w:b w:val="0"/>
            <w:bCs w:val="0"/>
            <w:noProof/>
            <w:szCs w:val="22"/>
            <w:lang w:val="it-CH" w:eastAsia="it-CH"/>
          </w:rPr>
          <w:tab/>
        </w:r>
        <w:r>
          <w:rPr>
            <w:rStyle w:val="Hyperlink"/>
            <w:noProof/>
          </w:rPr>
          <w:t>Principi per la realizzazione del programma di informazione e preparazione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_Toc46301566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>
      <w:pPr>
        <w:pStyle w:val="Verzeichnis1"/>
        <w:rPr>
          <w:rFonts w:asciiTheme="minorHAnsi" w:eastAsiaTheme="minorEastAsia" w:hAnsiTheme="minorHAnsi" w:cstheme="minorBidi"/>
          <w:b w:val="0"/>
          <w:bCs w:val="0"/>
          <w:noProof/>
          <w:szCs w:val="22"/>
          <w:lang w:val="it-CH" w:eastAsia="it-CH"/>
        </w:rPr>
      </w:pPr>
      <w:hyperlink w:anchor="_Toc46301567" w:history="1">
        <w:r>
          <w:rPr>
            <w:rStyle w:val="Hyperlink"/>
            <w:noProof/>
          </w:rPr>
          <w:t>6.</w:t>
        </w:r>
        <w:r>
          <w:rPr>
            <w:rFonts w:asciiTheme="minorHAnsi" w:eastAsiaTheme="minorEastAsia" w:hAnsiTheme="minorHAnsi" w:cstheme="minorBidi"/>
            <w:b w:val="0"/>
            <w:bCs w:val="0"/>
            <w:noProof/>
            <w:szCs w:val="22"/>
            <w:lang w:val="it-CH" w:eastAsia="it-CH"/>
          </w:rPr>
          <w:tab/>
        </w:r>
        <w:r>
          <w:rPr>
            <w:rStyle w:val="Hyperlink"/>
            <w:noProof/>
          </w:rPr>
          <w:t>Novità e ripercussioni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_Toc46301567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>
      <w:pPr>
        <w:pStyle w:val="Verzeichnis1"/>
        <w:rPr>
          <w:rFonts w:asciiTheme="minorHAnsi" w:eastAsiaTheme="minorEastAsia" w:hAnsiTheme="minorHAnsi" w:cstheme="minorBidi"/>
          <w:b w:val="0"/>
          <w:bCs w:val="0"/>
          <w:noProof/>
          <w:szCs w:val="22"/>
          <w:lang w:val="it-CH" w:eastAsia="it-CH"/>
        </w:rPr>
      </w:pPr>
      <w:hyperlink w:anchor="_Toc46301568" w:history="1">
        <w:r>
          <w:rPr>
            <w:rStyle w:val="Hyperlink"/>
            <w:noProof/>
          </w:rPr>
          <w:t>7.</w:t>
        </w:r>
        <w:r>
          <w:rPr>
            <w:rFonts w:asciiTheme="minorHAnsi" w:eastAsiaTheme="minorEastAsia" w:hAnsiTheme="minorHAnsi" w:cstheme="minorBidi"/>
            <w:b w:val="0"/>
            <w:bCs w:val="0"/>
            <w:noProof/>
            <w:szCs w:val="22"/>
            <w:lang w:val="it-CH" w:eastAsia="it-CH"/>
          </w:rPr>
          <w:tab/>
        </w:r>
        <w:r>
          <w:rPr>
            <w:rStyle w:val="Hyperlink"/>
            <w:noProof/>
          </w:rPr>
          <w:t>Temi delle misure di informazione e preparazione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_Toc46301568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>
      <w:pPr>
        <w:pStyle w:val="Verzeichnis1"/>
        <w:rPr>
          <w:rFonts w:asciiTheme="minorHAnsi" w:eastAsiaTheme="minorEastAsia" w:hAnsiTheme="minorHAnsi" w:cstheme="minorBidi"/>
          <w:b w:val="0"/>
          <w:bCs w:val="0"/>
          <w:noProof/>
          <w:szCs w:val="22"/>
          <w:lang w:val="it-CH" w:eastAsia="it-CH"/>
        </w:rPr>
      </w:pPr>
      <w:hyperlink w:anchor="_Toc46301569" w:history="1">
        <w:r>
          <w:rPr>
            <w:rStyle w:val="Hyperlink"/>
            <w:noProof/>
          </w:rPr>
          <w:t>8.</w:t>
        </w:r>
        <w:r>
          <w:rPr>
            <w:rFonts w:asciiTheme="minorHAnsi" w:eastAsiaTheme="minorEastAsia" w:hAnsiTheme="minorHAnsi" w:cstheme="minorBidi"/>
            <w:b w:val="0"/>
            <w:bCs w:val="0"/>
            <w:noProof/>
            <w:szCs w:val="22"/>
            <w:lang w:val="it-CH" w:eastAsia="it-CH"/>
          </w:rPr>
          <w:tab/>
        </w:r>
        <w:r>
          <w:rPr>
            <w:rStyle w:val="Hyperlink"/>
            <w:noProof/>
          </w:rPr>
          <w:t>Misure di informazione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_Toc46301569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>
      <w:pPr>
        <w:pStyle w:val="Verzeichnis1"/>
        <w:rPr>
          <w:rFonts w:asciiTheme="minorHAnsi" w:eastAsiaTheme="minorEastAsia" w:hAnsiTheme="minorHAnsi" w:cstheme="minorBidi"/>
          <w:b w:val="0"/>
          <w:bCs w:val="0"/>
          <w:noProof/>
          <w:szCs w:val="22"/>
          <w:lang w:val="it-CH" w:eastAsia="it-CH"/>
        </w:rPr>
      </w:pPr>
      <w:hyperlink w:anchor="_Toc46301570" w:history="1">
        <w:r>
          <w:rPr>
            <w:rStyle w:val="Hyperlink"/>
            <w:noProof/>
          </w:rPr>
          <w:t>9.</w:t>
        </w:r>
        <w:r>
          <w:rPr>
            <w:rFonts w:asciiTheme="minorHAnsi" w:eastAsiaTheme="minorEastAsia" w:hAnsiTheme="minorHAnsi" w:cstheme="minorBidi"/>
            <w:b w:val="0"/>
            <w:bCs w:val="0"/>
            <w:noProof/>
            <w:szCs w:val="22"/>
            <w:lang w:val="it-CH" w:eastAsia="it-CH"/>
          </w:rPr>
          <w:tab/>
        </w:r>
        <w:r>
          <w:rPr>
            <w:rStyle w:val="Hyperlink"/>
            <w:noProof/>
          </w:rPr>
          <w:t>Elaborazione dei documenti di attuazione e delle relative misure di informazione e preparazione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_Toc46301570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>
      <w:pPr>
        <w:pStyle w:val="Verzeichnis1"/>
        <w:rPr>
          <w:rFonts w:asciiTheme="minorHAnsi" w:eastAsiaTheme="minorEastAsia" w:hAnsiTheme="minorHAnsi" w:cstheme="minorBidi"/>
          <w:b w:val="0"/>
          <w:bCs w:val="0"/>
          <w:noProof/>
          <w:szCs w:val="22"/>
          <w:lang w:val="it-CH" w:eastAsia="it-CH"/>
        </w:rPr>
      </w:pPr>
      <w:hyperlink w:anchor="_Toc46301571" w:history="1">
        <w:r>
          <w:rPr>
            <w:rStyle w:val="Hyperlink"/>
            <w:noProof/>
          </w:rPr>
          <w:t>10.</w:t>
        </w:r>
        <w:r>
          <w:rPr>
            <w:rFonts w:asciiTheme="minorHAnsi" w:eastAsiaTheme="minorEastAsia" w:hAnsiTheme="minorHAnsi" w:cstheme="minorBidi"/>
            <w:b w:val="0"/>
            <w:bCs w:val="0"/>
            <w:noProof/>
            <w:szCs w:val="22"/>
            <w:lang w:val="it-CH" w:eastAsia="it-CH"/>
          </w:rPr>
          <w:tab/>
        </w:r>
        <w:r>
          <w:rPr>
            <w:rStyle w:val="Hyperlink"/>
            <w:noProof/>
          </w:rPr>
          <w:t>Contatti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_Toc46301571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>
      <w:pPr>
        <w:pStyle w:val="Verzeichnis1"/>
        <w:rPr>
          <w:rFonts w:asciiTheme="minorHAnsi" w:eastAsiaTheme="minorEastAsia" w:hAnsiTheme="minorHAnsi" w:cstheme="minorBidi"/>
          <w:b w:val="0"/>
          <w:bCs w:val="0"/>
          <w:noProof/>
          <w:szCs w:val="22"/>
          <w:lang w:val="it-CH" w:eastAsia="it-CH"/>
        </w:rPr>
      </w:pPr>
      <w:hyperlink w:anchor="_Toc46301572" w:history="1">
        <w:r>
          <w:rPr>
            <w:rStyle w:val="Hyperlink"/>
            <w:noProof/>
          </w:rPr>
          <w:t>11.</w:t>
        </w:r>
        <w:r>
          <w:rPr>
            <w:rFonts w:asciiTheme="minorHAnsi" w:eastAsiaTheme="minorEastAsia" w:hAnsiTheme="minorHAnsi" w:cstheme="minorBidi"/>
            <w:b w:val="0"/>
            <w:bCs w:val="0"/>
            <w:noProof/>
            <w:szCs w:val="22"/>
            <w:lang w:val="it-CH" w:eastAsia="it-CH"/>
          </w:rPr>
          <w:tab/>
        </w:r>
        <w:r>
          <w:rPr>
            <w:rStyle w:val="Hyperlink"/>
            <w:noProof/>
          </w:rPr>
          <w:t>Allegato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_Toc46301572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>
      <w:pPr>
        <w:pStyle w:val="Verzeichnis1"/>
        <w:rPr>
          <w:rFonts w:asciiTheme="minorHAnsi" w:eastAsiaTheme="minorEastAsia" w:hAnsiTheme="minorHAnsi" w:cstheme="minorBidi"/>
          <w:b w:val="0"/>
          <w:bCs w:val="0"/>
          <w:noProof/>
          <w:szCs w:val="22"/>
          <w:lang w:val="it-CH" w:eastAsia="it-CH"/>
        </w:rPr>
      </w:pPr>
      <w:hyperlink w:anchor="_Toc46301573" w:history="1">
        <w:r>
          <w:rPr>
            <w:rStyle w:val="Hyperlink"/>
            <w:noProof/>
          </w:rPr>
          <w:t>12.</w:t>
        </w:r>
        <w:r>
          <w:rPr>
            <w:rFonts w:asciiTheme="minorHAnsi" w:eastAsiaTheme="minorEastAsia" w:hAnsiTheme="minorHAnsi" w:cstheme="minorBidi"/>
            <w:b w:val="0"/>
            <w:bCs w:val="0"/>
            <w:noProof/>
            <w:szCs w:val="22"/>
            <w:lang w:val="it-CH" w:eastAsia="it-CH"/>
          </w:rPr>
          <w:tab/>
        </w:r>
        <w:r>
          <w:rPr>
            <w:rStyle w:val="Hyperlink"/>
            <w:noProof/>
          </w:rPr>
          <w:t>Documenti di attuazione e relative misure di informazione e preparazione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_Toc46301573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>
      <w:pPr>
        <w:jc w:val="both"/>
        <w:rPr>
          <w:lang w:val="it-IT"/>
        </w:rPr>
      </w:pPr>
      <w:r>
        <w:rPr>
          <w:b/>
          <w:bCs/>
          <w:lang w:val="it-IT"/>
        </w:rPr>
        <w:fldChar w:fldCharType="end"/>
      </w:r>
    </w:p>
    <w:p>
      <w:pPr>
        <w:pStyle w:val="BFAberschriftEbene1"/>
      </w:pPr>
      <w:r>
        <w:rPr>
          <w:sz w:val="20"/>
        </w:rPr>
        <w:br w:type="page"/>
      </w:r>
      <w:bookmarkStart w:id="1" w:name="_Toc498692621"/>
      <w:bookmarkStart w:id="2" w:name="_Toc510533980"/>
      <w:bookmarkStart w:id="3" w:name="_Toc46301562"/>
      <w:bookmarkEnd w:id="0"/>
      <w:r>
        <w:lastRenderedPageBreak/>
        <w:t xml:space="preserve">Obiettivi del programma di informazione e </w:t>
      </w:r>
      <w:bookmarkEnd w:id="1"/>
      <w:bookmarkEnd w:id="2"/>
      <w:r>
        <w:t>preparazione</w:t>
      </w:r>
      <w:bookmarkEnd w:id="3"/>
    </w:p>
    <w:p>
      <w:pPr>
        <w:spacing w:before="120" w:after="120" w:line="360" w:lineRule="auto"/>
        <w:jc w:val="both"/>
        <w:rPr>
          <w:sz w:val="20"/>
          <w:lang w:val="it-IT"/>
        </w:rPr>
      </w:pPr>
      <w:r>
        <w:rPr>
          <w:sz w:val="20"/>
          <w:lang w:val="it-IT"/>
        </w:rPr>
        <w:t>Le revisioni delle formazioni professionali di base comportano modifiche che devono essere realizzate in tutti e tre i luoghi di formazione. Il presente programma definisce le misure di informazione e di preparazione</w:t>
      </w:r>
      <w:r>
        <w:rPr>
          <w:color w:val="FF0000"/>
          <w:sz w:val="20"/>
          <w:lang w:val="it-IT"/>
        </w:rPr>
        <w:t xml:space="preserve"> </w:t>
      </w:r>
      <w:r>
        <w:rPr>
          <w:sz w:val="20"/>
          <w:lang w:val="it-IT"/>
        </w:rPr>
        <w:t xml:space="preserve">necessarie per i responsabili della formazione professionale attivi nei luoghi di formazione e stabilisce le competenze di Cantoni, enti responsabili e altri attori. </w:t>
      </w:r>
    </w:p>
    <w:p>
      <w:pPr>
        <w:spacing w:before="120" w:after="120" w:line="360" w:lineRule="auto"/>
        <w:jc w:val="both"/>
        <w:rPr>
          <w:sz w:val="20"/>
          <w:lang w:val="it-IT"/>
        </w:rPr>
      </w:pPr>
      <w:r>
        <w:rPr>
          <w:sz w:val="20"/>
          <w:lang w:val="it-IT"/>
        </w:rPr>
        <w:t xml:space="preserve">Il programma, approvato dalla Commissione </w:t>
      </w:r>
      <w:proofErr w:type="spellStart"/>
      <w:r>
        <w:rPr>
          <w:sz w:val="20"/>
          <w:lang w:val="it-IT"/>
        </w:rPr>
        <w:t>SP&amp;Q</w:t>
      </w:r>
      <w:proofErr w:type="spellEnd"/>
      <w:r>
        <w:rPr>
          <w:sz w:val="20"/>
          <w:lang w:val="it-IT"/>
        </w:rPr>
        <w:t xml:space="preserve">, è allegato alla richiesta di ticket (cfr. manuale pratico «Il processo di sviluppo delle formazioni professionali di base», Fase 3 – Atti normativi in materia di formazione) e trasmesso alla </w:t>
      </w:r>
      <w:proofErr w:type="spellStart"/>
      <w:r>
        <w:rPr>
          <w:sz w:val="20"/>
          <w:lang w:val="it-IT"/>
        </w:rPr>
        <w:t>SEFRI</w:t>
      </w:r>
      <w:proofErr w:type="spellEnd"/>
      <w:r>
        <w:rPr>
          <w:sz w:val="20"/>
          <w:lang w:val="it-IT"/>
        </w:rPr>
        <w:t>.</w:t>
      </w:r>
    </w:p>
    <w:p>
      <w:pPr>
        <w:pStyle w:val="Titel"/>
      </w:pPr>
      <w:bookmarkStart w:id="4" w:name="_Toc46301563"/>
      <w:r>
        <w:t>Condizioni quadro</w:t>
      </w:r>
      <w:bookmarkEnd w:id="4"/>
    </w:p>
    <w:p>
      <w:pPr>
        <w:spacing w:before="120" w:after="120" w:line="360" w:lineRule="auto"/>
        <w:jc w:val="both"/>
        <w:rPr>
          <w:sz w:val="20"/>
          <w:lang w:val="it-IT"/>
        </w:rPr>
      </w:pPr>
      <w:r>
        <w:rPr>
          <w:sz w:val="20"/>
          <w:lang w:val="it-IT"/>
        </w:rPr>
        <w:t>Secondo la legge sulla formazione professionale (</w:t>
      </w:r>
      <w:proofErr w:type="spellStart"/>
      <w:r>
        <w:rPr>
          <w:sz w:val="20"/>
          <w:lang w:val="it-IT"/>
        </w:rPr>
        <w:t>LFPr</w:t>
      </w:r>
      <w:proofErr w:type="spellEnd"/>
      <w:r>
        <w:rPr>
          <w:sz w:val="20"/>
          <w:lang w:val="it-IT"/>
        </w:rPr>
        <w:t xml:space="preserve">; </w:t>
      </w:r>
      <w:proofErr w:type="spellStart"/>
      <w:r>
        <w:rPr>
          <w:sz w:val="20"/>
          <w:lang w:val="it-IT"/>
        </w:rPr>
        <w:t>RS</w:t>
      </w:r>
      <w:proofErr w:type="spellEnd"/>
      <w:r>
        <w:rPr>
          <w:sz w:val="20"/>
          <w:lang w:val="it-IT"/>
        </w:rPr>
        <w:t xml:space="preserve"> </w:t>
      </w:r>
      <w:r>
        <w:rPr>
          <w:i/>
          <w:sz w:val="20"/>
          <w:lang w:val="it-IT"/>
        </w:rPr>
        <w:t>412.10</w:t>
      </w:r>
      <w:r>
        <w:rPr>
          <w:sz w:val="20"/>
          <w:lang w:val="it-IT"/>
        </w:rPr>
        <w:t>), l’obbligo di vigilanza e di esecuzione nei luoghi di formazione spetta ai Cantoni. Tale obbligo comprende anche l’informazione e la preparazione dei responsabili della formazione professionale.</w:t>
      </w:r>
    </w:p>
    <w:p>
      <w:pPr>
        <w:spacing w:before="120" w:after="120" w:line="360" w:lineRule="auto"/>
        <w:jc w:val="both"/>
        <w:rPr>
          <w:sz w:val="20"/>
          <w:lang w:val="it-IT"/>
        </w:rPr>
      </w:pPr>
      <w:r>
        <w:rPr>
          <w:sz w:val="20"/>
          <w:lang w:val="it-IT"/>
        </w:rPr>
        <w:t>In base alla revisione della professione, l’ente responsabile elabora le misure di informazione e di preparazione</w:t>
      </w:r>
      <w:r>
        <w:rPr>
          <w:color w:val="FF0000"/>
          <w:sz w:val="20"/>
          <w:lang w:val="it-IT"/>
        </w:rPr>
        <w:t xml:space="preserve"> </w:t>
      </w:r>
      <w:r>
        <w:rPr>
          <w:sz w:val="20"/>
          <w:lang w:val="it-IT"/>
        </w:rPr>
        <w:t>che ritiene necessarie e definisce le competenze relative alla loro realizzazione e al loro finanziamento. In caso di divergenze con i Cantoni, la Conferenza svizzera degli uffici della formazione professionale (</w:t>
      </w:r>
      <w:proofErr w:type="spellStart"/>
      <w:r>
        <w:rPr>
          <w:sz w:val="20"/>
          <w:lang w:val="it-IT"/>
        </w:rPr>
        <w:t>CSFP</w:t>
      </w:r>
      <w:proofErr w:type="spellEnd"/>
      <w:r>
        <w:rPr>
          <w:sz w:val="20"/>
          <w:lang w:val="it-IT"/>
        </w:rPr>
        <w:t xml:space="preserve">) e l’ente responsabile possono incontrarsi per trovare una soluzione. L’ente responsabile concorda il programma di informazione e preparazione insieme alla Commissione </w:t>
      </w:r>
      <w:proofErr w:type="spellStart"/>
      <w:r>
        <w:rPr>
          <w:sz w:val="20"/>
          <w:lang w:val="it-IT"/>
        </w:rPr>
        <w:t>SP&amp;Q</w:t>
      </w:r>
      <w:proofErr w:type="spellEnd"/>
      <w:r>
        <w:rPr>
          <w:sz w:val="20"/>
          <w:lang w:val="it-IT"/>
        </w:rPr>
        <w:t xml:space="preserve">, in particolare con i delegati cantonali della </w:t>
      </w:r>
      <w:proofErr w:type="spellStart"/>
      <w:r>
        <w:rPr>
          <w:sz w:val="20"/>
          <w:lang w:val="it-IT"/>
        </w:rPr>
        <w:t>CFSP</w:t>
      </w:r>
      <w:proofErr w:type="spellEnd"/>
      <w:r>
        <w:rPr>
          <w:sz w:val="20"/>
          <w:lang w:val="it-IT"/>
        </w:rPr>
        <w:t>, che garantiscono il coordinamento con la Conferenza.</w:t>
      </w:r>
    </w:p>
    <w:p>
      <w:pPr>
        <w:spacing w:before="120" w:line="360" w:lineRule="auto"/>
        <w:jc w:val="both"/>
        <w:rPr>
          <w:sz w:val="20"/>
          <w:lang w:val="it-IT"/>
        </w:rPr>
      </w:pPr>
      <w:r>
        <w:rPr>
          <w:sz w:val="20"/>
          <w:lang w:val="it-IT"/>
        </w:rPr>
        <w:t>Per quanto riguarda l’organizzazione, è opportuno distinguere tra:</w:t>
      </w:r>
    </w:p>
    <w:p>
      <w:pPr>
        <w:pStyle w:val="Listenabsatz"/>
        <w:numPr>
          <w:ilvl w:val="0"/>
          <w:numId w:val="23"/>
        </w:numPr>
        <w:spacing w:before="120" w:after="120" w:line="360" w:lineRule="auto"/>
        <w:jc w:val="both"/>
        <w:rPr>
          <w:sz w:val="20"/>
          <w:lang w:val="it-IT"/>
        </w:rPr>
      </w:pPr>
      <w:r>
        <w:rPr>
          <w:b/>
          <w:sz w:val="20"/>
          <w:lang w:val="it-IT"/>
        </w:rPr>
        <w:t>misure di informazione</w:t>
      </w:r>
      <w:r>
        <w:rPr>
          <w:sz w:val="20"/>
          <w:lang w:val="it-IT"/>
        </w:rPr>
        <w:t xml:space="preserve"> legate a modifiche degli atti normativi (ordinanza e piano di formazione) e degli strumenti volti a promuovere la qualità (documenti di attuazione come il programma di formazione per le aziende di tirocinio, il programma di formazione per i corsi interaziendali, il programma d’insegnamento per le scuole professionali, le disposizioni esecutive per la procedura di qualificazione con esame finale, ecc.); e</w:t>
      </w:r>
    </w:p>
    <w:p>
      <w:pPr>
        <w:pStyle w:val="Listenabsatz"/>
        <w:numPr>
          <w:ilvl w:val="0"/>
          <w:numId w:val="23"/>
        </w:numPr>
        <w:spacing w:before="120" w:after="120" w:line="360" w:lineRule="auto"/>
        <w:jc w:val="both"/>
        <w:rPr>
          <w:sz w:val="20"/>
          <w:lang w:val="it-IT"/>
        </w:rPr>
      </w:pPr>
      <w:r>
        <w:rPr>
          <w:b/>
          <w:sz w:val="20"/>
          <w:lang w:val="it-IT"/>
        </w:rPr>
        <w:t>misure di preparazione</w:t>
      </w:r>
      <w:r>
        <w:rPr>
          <w:sz w:val="20"/>
          <w:lang w:val="it-IT"/>
        </w:rPr>
        <w:t xml:space="preserve"> destinate ai responsabili della formazione professionale relative alla realizzazione delle modifiche dal punto di vista pedagogico-professionale. </w:t>
      </w:r>
    </w:p>
    <w:p>
      <w:pPr>
        <w:pStyle w:val="BFAberschriftEbene1"/>
      </w:pPr>
      <w:bookmarkStart w:id="5" w:name="_Toc46301564"/>
      <w:r>
        <w:t>Misure di informazione: competenza</w:t>
      </w:r>
      <w:bookmarkEnd w:id="5"/>
    </w:p>
    <w:p>
      <w:pPr>
        <w:spacing w:before="120" w:after="120" w:line="360" w:lineRule="auto"/>
        <w:jc w:val="both"/>
        <w:rPr>
          <w:sz w:val="20"/>
          <w:lang w:val="it-IT"/>
        </w:rPr>
      </w:pPr>
      <w:r>
        <w:rPr>
          <w:sz w:val="20"/>
          <w:lang w:val="it-IT"/>
        </w:rPr>
        <w:t>Le misure di informazione sono di competenza cantonale. Se la realizzazione viene delegata agli enti responsabili o viene svolta insieme a quella delle misure di preparazione, i Cantoni e gli enti responsabili devono trovare un accordo sulle spese affinché gli eventi informativi siano gratuiti per i partecipanti. Di solito è l’ente responsabile che si mette in contatto con ognuno dei Cantoni interessati o lo fa tramite le conferenze regionali</w:t>
      </w:r>
      <w:r>
        <w:rPr>
          <w:rStyle w:val="Funotenzeichen"/>
          <w:sz w:val="20"/>
          <w:lang w:val="it-IT"/>
        </w:rPr>
        <w:footnoteReference w:id="2"/>
      </w:r>
      <w:r>
        <w:rPr>
          <w:sz w:val="20"/>
          <w:lang w:val="it-IT"/>
        </w:rPr>
        <w:t>.</w:t>
      </w:r>
    </w:p>
    <w:p>
      <w:pPr>
        <w:spacing w:before="120" w:after="120" w:line="360" w:lineRule="auto"/>
        <w:jc w:val="both"/>
        <w:rPr>
          <w:sz w:val="20"/>
          <w:lang w:val="it-IT"/>
        </w:rPr>
      </w:pPr>
      <w:r>
        <w:rPr>
          <w:sz w:val="20"/>
          <w:lang w:val="it-IT"/>
        </w:rPr>
        <w:t xml:space="preserve">Gli inviti agli eventi informativi possono essere inviati dai Cantoni interessati, i quali possono anche mettere a disposizione i locali necessari. Il contenuto e gli altri costi associati a un evento sono </w:t>
      </w:r>
      <w:r>
        <w:rPr>
          <w:sz w:val="20"/>
          <w:lang w:val="it-IT"/>
        </w:rPr>
        <w:lastRenderedPageBreak/>
        <w:t>definiti e sostenuti dagli enti responsabili. Una parte della presentazione della revisione può essere affidata al consulente cantonale per la formazione o all’ispettore cantonale del lavoro.</w:t>
      </w:r>
    </w:p>
    <w:p>
      <w:pPr>
        <w:spacing w:before="120" w:after="120" w:line="360" w:lineRule="auto"/>
        <w:jc w:val="both"/>
        <w:rPr>
          <w:sz w:val="20"/>
          <w:lang w:val="it-IT"/>
        </w:rPr>
      </w:pPr>
      <w:r>
        <w:rPr>
          <w:sz w:val="20"/>
          <w:lang w:val="it-IT"/>
        </w:rPr>
        <w:t>Nella Svizzera latina gli eventi informativi sono organizzati e realizzati dalla Scuola universitaria federale per la formazione professionale (</w:t>
      </w:r>
      <w:proofErr w:type="spellStart"/>
      <w:r>
        <w:rPr>
          <w:sz w:val="20"/>
          <w:lang w:val="it-IT"/>
        </w:rPr>
        <w:t>SUFFP</w:t>
      </w:r>
      <w:proofErr w:type="spellEnd"/>
      <w:r>
        <w:rPr>
          <w:sz w:val="20"/>
          <w:lang w:val="it-IT"/>
        </w:rPr>
        <w:t>) insieme ai partner.</w:t>
      </w:r>
    </w:p>
    <w:p>
      <w:pPr>
        <w:pStyle w:val="BFAberschriftEbene1"/>
      </w:pPr>
      <w:bookmarkStart w:id="6" w:name="_Toc46301565"/>
      <w:r>
        <w:t>Misure di preparazione: competenza</w:t>
      </w:r>
      <w:bookmarkEnd w:id="6"/>
    </w:p>
    <w:p>
      <w:pPr>
        <w:spacing w:before="120" w:after="120" w:line="360" w:lineRule="auto"/>
        <w:jc w:val="both"/>
        <w:rPr>
          <w:sz w:val="20"/>
          <w:lang w:val="it-IT"/>
        </w:rPr>
      </w:pPr>
      <w:r>
        <w:rPr>
          <w:sz w:val="20"/>
          <w:lang w:val="it-IT"/>
        </w:rPr>
        <w:t>Le misure di preparazione sono di competenza degli enti responsabili. Se le misure di informazione e quelle di preparazione</w:t>
      </w:r>
      <w:r>
        <w:rPr>
          <w:color w:val="FF0000"/>
          <w:sz w:val="20"/>
          <w:lang w:val="it-IT"/>
        </w:rPr>
        <w:t xml:space="preserve"> </w:t>
      </w:r>
      <w:r>
        <w:rPr>
          <w:sz w:val="20"/>
          <w:lang w:val="it-IT"/>
        </w:rPr>
        <w:t>vengono svolte in maniera combinata, le spese della parte relativa all’informazione devono essere concordate come indicato sopra.</w:t>
      </w:r>
      <w:bookmarkStart w:id="7" w:name="_Toc393096013"/>
      <w:bookmarkStart w:id="8" w:name="_Toc498692623"/>
    </w:p>
    <w:p>
      <w:pPr>
        <w:pStyle w:val="BFAberschriftEbene1"/>
      </w:pPr>
      <w:bookmarkStart w:id="9" w:name="_Toc499211474"/>
      <w:bookmarkStart w:id="10" w:name="_Toc46301566"/>
      <w:bookmarkEnd w:id="7"/>
      <w:r>
        <w:t>Principi per la realizzazione del programma di informazione e preparazione</w:t>
      </w:r>
      <w:bookmarkEnd w:id="8"/>
      <w:bookmarkEnd w:id="9"/>
      <w:bookmarkEnd w:id="10"/>
    </w:p>
    <w:p>
      <w:pPr>
        <w:spacing w:before="120" w:after="120" w:line="360" w:lineRule="auto"/>
        <w:jc w:val="both"/>
        <w:rPr>
          <w:sz w:val="20"/>
          <w:lang w:val="it-IT"/>
        </w:rPr>
      </w:pPr>
      <w:r>
        <w:rPr>
          <w:sz w:val="20"/>
          <w:lang w:val="it-IT"/>
        </w:rPr>
        <w:t xml:space="preserve">Qui di seguito sono elencati i principi da rispettare per una realizzazione uniforme a livello nazionale della revisione. A tal fine la </w:t>
      </w:r>
      <w:proofErr w:type="spellStart"/>
      <w:r>
        <w:rPr>
          <w:iCs/>
          <w:sz w:val="20"/>
          <w:lang w:val="it-IT"/>
        </w:rPr>
        <w:t>SUFFP</w:t>
      </w:r>
      <w:proofErr w:type="spellEnd"/>
      <w:r>
        <w:rPr>
          <w:sz w:val="20"/>
          <w:lang w:val="it-IT"/>
        </w:rPr>
        <w:t xml:space="preserve"> offre una serie di strumenti gratuiti a titolo di sostegno (</w:t>
      </w:r>
      <w:hyperlink r:id="rId11" w:history="1">
        <w:r>
          <w:rPr>
            <w:rStyle w:val="Hyperlink"/>
            <w:sz w:val="20"/>
            <w:lang w:val="it-IT"/>
          </w:rPr>
          <w:t>https://www.suffp.swiss/formazione-professionale-di-base-applicazione-0</w:t>
        </w:r>
      </w:hyperlink>
      <w:r>
        <w:rPr>
          <w:sz w:val="20"/>
          <w:lang w:val="it-IT"/>
        </w:rPr>
        <w:t>).</w:t>
      </w:r>
    </w:p>
    <w:p>
      <w:pPr>
        <w:spacing w:after="60"/>
        <w:jc w:val="both"/>
        <w:rPr>
          <w:b/>
          <w:i/>
          <w:color w:val="008080"/>
          <w:sz w:val="28"/>
          <w:szCs w:val="28"/>
          <w:lang w:val="it-IT"/>
        </w:rPr>
      </w:pPr>
      <w:r>
        <w:rPr>
          <w:b/>
          <w:i/>
          <w:color w:val="008080"/>
          <w:sz w:val="28"/>
          <w:szCs w:val="28"/>
          <w:lang w:val="it-IT"/>
        </w:rPr>
        <w:t>Esempi (da adeguare in base alla revisione della professione)</w:t>
      </w:r>
    </w:p>
    <w:p>
      <w:pPr>
        <w:spacing w:after="60"/>
        <w:jc w:val="both"/>
        <w:rPr>
          <w:b/>
          <w:i/>
          <w:color w:val="008080"/>
          <w:sz w:val="28"/>
          <w:szCs w:val="28"/>
          <w:lang w:val="it-IT"/>
        </w:rPr>
      </w:pPr>
    </w:p>
    <w:p>
      <w:pPr>
        <w:numPr>
          <w:ilvl w:val="0"/>
          <w:numId w:val="24"/>
        </w:numPr>
        <w:spacing w:before="60" w:after="60" w:line="360" w:lineRule="auto"/>
        <w:jc w:val="both"/>
        <w:rPr>
          <w:i/>
          <w:color w:val="008080"/>
          <w:sz w:val="20"/>
          <w:lang w:val="it-IT"/>
        </w:rPr>
      </w:pPr>
      <w:r>
        <w:rPr>
          <w:i/>
          <w:color w:val="008080"/>
          <w:sz w:val="20"/>
          <w:lang w:val="it-IT"/>
        </w:rPr>
        <w:t xml:space="preserve">In qualità di ente responsabile, </w:t>
      </w:r>
      <w:proofErr w:type="spellStart"/>
      <w:r>
        <w:rPr>
          <w:i/>
          <w:color w:val="008080"/>
          <w:sz w:val="20"/>
          <w:lang w:val="it-IT"/>
        </w:rPr>
        <w:t>XY</w:t>
      </w:r>
      <w:proofErr w:type="spellEnd"/>
      <w:r>
        <w:rPr>
          <w:i/>
          <w:color w:val="008080"/>
          <w:sz w:val="20"/>
          <w:lang w:val="it-IT"/>
        </w:rPr>
        <w:t xml:space="preserve"> collabora con </w:t>
      </w:r>
      <w:proofErr w:type="spellStart"/>
      <w:r>
        <w:rPr>
          <w:i/>
          <w:color w:val="008080"/>
          <w:sz w:val="20"/>
          <w:lang w:val="it-IT"/>
        </w:rPr>
        <w:t>YZ</w:t>
      </w:r>
      <w:proofErr w:type="spellEnd"/>
      <w:r>
        <w:rPr>
          <w:i/>
          <w:color w:val="008080"/>
          <w:sz w:val="20"/>
          <w:lang w:val="it-IT"/>
        </w:rPr>
        <w:t xml:space="preserve"> (nome dell’istituto che fornisce assistenza pedagogico-professionale, p. es. </w:t>
      </w:r>
      <w:proofErr w:type="spellStart"/>
      <w:r>
        <w:rPr>
          <w:i/>
          <w:color w:val="008080"/>
          <w:sz w:val="20"/>
          <w:lang w:val="it-IT"/>
        </w:rPr>
        <w:t>SUFFP</w:t>
      </w:r>
      <w:proofErr w:type="spellEnd"/>
      <w:r>
        <w:rPr>
          <w:i/>
          <w:color w:val="008080"/>
          <w:sz w:val="20"/>
          <w:lang w:val="it-IT"/>
        </w:rPr>
        <w:t>) alla pianificazione, alla preparazione e allo svolgimento di eventi informativi e di corsi di formazione.</w:t>
      </w:r>
    </w:p>
    <w:p>
      <w:pPr>
        <w:numPr>
          <w:ilvl w:val="0"/>
          <w:numId w:val="24"/>
        </w:numPr>
        <w:spacing w:before="60" w:after="60" w:line="360" w:lineRule="auto"/>
        <w:jc w:val="both"/>
        <w:rPr>
          <w:i/>
          <w:color w:val="008080"/>
          <w:sz w:val="20"/>
          <w:lang w:val="it-IT"/>
        </w:rPr>
      </w:pPr>
      <w:r>
        <w:rPr>
          <w:i/>
          <w:color w:val="008080"/>
          <w:sz w:val="20"/>
          <w:lang w:val="it-IT"/>
        </w:rPr>
        <w:t>Vengono prese in considerazione le buone prassi scaturite da realizzazioni in corso o già concluse.</w:t>
      </w:r>
    </w:p>
    <w:p>
      <w:pPr>
        <w:numPr>
          <w:ilvl w:val="0"/>
          <w:numId w:val="24"/>
        </w:numPr>
        <w:spacing w:before="60" w:after="60" w:line="360" w:lineRule="auto"/>
        <w:jc w:val="both"/>
        <w:rPr>
          <w:i/>
          <w:color w:val="008080"/>
          <w:sz w:val="20"/>
          <w:lang w:val="it-IT"/>
        </w:rPr>
      </w:pPr>
      <w:r>
        <w:rPr>
          <w:i/>
          <w:color w:val="008080"/>
          <w:sz w:val="20"/>
          <w:lang w:val="it-IT"/>
        </w:rPr>
        <w:t>Vengono impiegati i seguenti documenti di attuazione (cfr. allegato 1 del piano di formazione), elaborati all’interno di gruppi di lavoro: documentazione dell’apprendimento, programma di formazione per le aziende di tirocinio, programma di formazione per i corsi interaziendali, programma d’insegnamento per le scuole professionali, disposizioni esecutive per la procedura di qualificazione con esame finale, ecc.</w:t>
      </w:r>
    </w:p>
    <w:p>
      <w:pPr>
        <w:numPr>
          <w:ilvl w:val="0"/>
          <w:numId w:val="24"/>
        </w:numPr>
        <w:spacing w:before="60" w:after="60" w:line="360" w:lineRule="auto"/>
        <w:jc w:val="both"/>
        <w:rPr>
          <w:i/>
          <w:color w:val="008080"/>
          <w:sz w:val="20"/>
          <w:lang w:val="it-IT"/>
        </w:rPr>
      </w:pPr>
      <w:r>
        <w:rPr>
          <w:i/>
          <w:color w:val="008080"/>
          <w:sz w:val="20"/>
          <w:lang w:val="it-IT"/>
        </w:rPr>
        <w:t>I documenti di attuazione sono coerenti tra loro.</w:t>
      </w:r>
    </w:p>
    <w:p>
      <w:pPr>
        <w:numPr>
          <w:ilvl w:val="0"/>
          <w:numId w:val="24"/>
        </w:numPr>
        <w:spacing w:before="60" w:after="60" w:line="360" w:lineRule="auto"/>
        <w:jc w:val="both"/>
        <w:rPr>
          <w:i/>
          <w:color w:val="008080"/>
          <w:sz w:val="20"/>
          <w:lang w:val="it-IT"/>
        </w:rPr>
      </w:pPr>
      <w:r>
        <w:rPr>
          <w:i/>
          <w:color w:val="008080"/>
          <w:sz w:val="20"/>
          <w:lang w:val="it-IT"/>
        </w:rPr>
        <w:t>Ai responsabili della formazione professionale attivi in tutti i luoghi di formazione viene spiegato come utilizzare il piano di formazione e i documenti di attuazione.</w:t>
      </w:r>
    </w:p>
    <w:p>
      <w:pPr>
        <w:numPr>
          <w:ilvl w:val="0"/>
          <w:numId w:val="24"/>
        </w:numPr>
        <w:spacing w:before="60" w:after="60" w:line="360" w:lineRule="auto"/>
        <w:jc w:val="both"/>
        <w:rPr>
          <w:i/>
          <w:color w:val="008080"/>
          <w:sz w:val="20"/>
          <w:lang w:val="it-IT"/>
        </w:rPr>
      </w:pPr>
      <w:r>
        <w:rPr>
          <w:i/>
          <w:color w:val="008080"/>
          <w:sz w:val="20"/>
          <w:lang w:val="it-IT"/>
        </w:rPr>
        <w:t>I formatori attivi nei corsi interaziendali si avvalgono di supporti didattici e strumenti di valutazione uniformi in tutti i luoghi di formazione.</w:t>
      </w:r>
    </w:p>
    <w:p>
      <w:pPr>
        <w:numPr>
          <w:ilvl w:val="0"/>
          <w:numId w:val="24"/>
        </w:numPr>
        <w:spacing w:before="60" w:after="60" w:line="360" w:lineRule="auto"/>
        <w:jc w:val="both"/>
        <w:rPr>
          <w:i/>
          <w:color w:val="008080"/>
          <w:sz w:val="20"/>
          <w:lang w:val="it-IT"/>
        </w:rPr>
      </w:pPr>
      <w:r>
        <w:rPr>
          <w:i/>
          <w:color w:val="008080"/>
          <w:sz w:val="20"/>
          <w:lang w:val="it-IT"/>
        </w:rPr>
        <w:t xml:space="preserve">Le misure di informazione e preparazione nelle tre regioni linguistiche vengono svolte dai Cantoni in collaborazione con l’ente responsabile e, se necessario, con gli istituti regionali della </w:t>
      </w:r>
      <w:proofErr w:type="spellStart"/>
      <w:r>
        <w:rPr>
          <w:i/>
          <w:color w:val="008080"/>
          <w:sz w:val="20"/>
          <w:lang w:val="it-IT"/>
        </w:rPr>
        <w:t>SUFFP</w:t>
      </w:r>
      <w:proofErr w:type="spellEnd"/>
      <w:r>
        <w:rPr>
          <w:i/>
          <w:color w:val="008080"/>
          <w:sz w:val="20"/>
          <w:lang w:val="it-IT"/>
        </w:rPr>
        <w:t>.</w:t>
      </w:r>
    </w:p>
    <w:p>
      <w:pPr>
        <w:numPr>
          <w:ilvl w:val="0"/>
          <w:numId w:val="24"/>
        </w:numPr>
        <w:spacing w:before="60" w:after="60" w:line="360" w:lineRule="auto"/>
        <w:jc w:val="both"/>
        <w:rPr>
          <w:i/>
          <w:color w:val="008080"/>
          <w:sz w:val="20"/>
          <w:lang w:val="it-IT"/>
        </w:rPr>
      </w:pPr>
      <w:r>
        <w:rPr>
          <w:i/>
          <w:color w:val="008080"/>
          <w:sz w:val="20"/>
          <w:lang w:val="it-IT"/>
        </w:rPr>
        <w:t>L’ente responsabile e le autorità cantonali competenti definiscono congiuntamente gli ambiti di competenza sotto il profilo finanziario e organizzativo.</w:t>
      </w:r>
    </w:p>
    <w:p>
      <w:pPr>
        <w:numPr>
          <w:ilvl w:val="0"/>
          <w:numId w:val="24"/>
        </w:numPr>
        <w:spacing w:before="60" w:after="60" w:line="360" w:lineRule="auto"/>
        <w:jc w:val="both"/>
        <w:rPr>
          <w:i/>
          <w:color w:val="008080"/>
          <w:sz w:val="20"/>
          <w:lang w:val="it-IT"/>
        </w:rPr>
      </w:pPr>
      <w:bookmarkStart w:id="11" w:name="_Toc393096014"/>
      <w:bookmarkStart w:id="12" w:name="_Toc498692624"/>
      <w:r>
        <w:rPr>
          <w:i/>
          <w:color w:val="008080"/>
          <w:sz w:val="20"/>
          <w:lang w:val="it-IT"/>
        </w:rPr>
        <w:t>I canali informativi sono definiti. L’ente responsabile mette a disposizione i documenti necessari per le attività di informazione e preparazione.</w:t>
      </w:r>
      <w:r>
        <w:rPr>
          <w:i/>
          <w:color w:val="008080"/>
          <w:sz w:val="20"/>
          <w:lang w:val="it-IT"/>
        </w:rPr>
        <w:br w:type="page"/>
      </w:r>
    </w:p>
    <w:p>
      <w:pPr>
        <w:pStyle w:val="BFAberschriftEbene1"/>
      </w:pPr>
      <w:bookmarkStart w:id="13" w:name="_Toc46301567"/>
      <w:bookmarkEnd w:id="11"/>
      <w:bookmarkEnd w:id="12"/>
      <w:r>
        <w:lastRenderedPageBreak/>
        <w:t>Novità e ripercussioni</w:t>
      </w:r>
      <w:bookmarkEnd w:id="13"/>
    </w:p>
    <w:p>
      <w:pPr>
        <w:spacing w:before="120" w:after="120" w:line="360" w:lineRule="auto"/>
        <w:jc w:val="both"/>
        <w:rPr>
          <w:sz w:val="20"/>
          <w:lang w:val="it-IT"/>
        </w:rPr>
      </w:pPr>
      <w:r>
        <w:rPr>
          <w:sz w:val="20"/>
          <w:lang w:val="it-IT"/>
        </w:rPr>
        <w:t>Qui di seguito sono elencate le principali novità che possono scaturire dalla revisione e incidere sulla realizzazione. In base a queste novità vengono individuate le esigenze in materia di informazione e preparazione.</w:t>
      </w:r>
    </w:p>
    <w:p>
      <w:pPr>
        <w:pStyle w:val="BFAText"/>
      </w:pPr>
      <w:r>
        <w:t>Nota relativa al capitolo 6: i seguenti punti possono essere utilizzati per illustrare la revisione alla Commissione per lo sviluppo professionale (</w:t>
      </w:r>
      <w:proofErr w:type="spellStart"/>
      <w:r>
        <w:t>CSP</w:t>
      </w:r>
      <w:proofErr w:type="spellEnd"/>
      <w:r>
        <w:t xml:space="preserve">). Nell’allegato è riportato un esempio di come può essere compilata la tabella qui sotto. </w:t>
      </w:r>
    </w:p>
    <w:p>
      <w:pPr>
        <w:jc w:val="both"/>
        <w:rPr>
          <w:b/>
          <w:i/>
          <w:color w:val="008080"/>
          <w:sz w:val="28"/>
          <w:szCs w:val="28"/>
          <w:lang w:val="it-IT"/>
        </w:rPr>
      </w:pPr>
      <w:r>
        <w:rPr>
          <w:b/>
          <w:i/>
          <w:color w:val="008080"/>
          <w:sz w:val="28"/>
          <w:szCs w:val="28"/>
          <w:lang w:val="it-IT"/>
        </w:rPr>
        <w:t>Esempi (da adeguare in base alla revisione della professione)</w:t>
      </w:r>
    </w:p>
    <w:p>
      <w:pPr>
        <w:jc w:val="both"/>
        <w:rPr>
          <w:b/>
          <w:i/>
          <w:color w:val="008080"/>
          <w:sz w:val="28"/>
          <w:szCs w:val="28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4359"/>
      </w:tblGrid>
      <w:tr>
        <w:tc>
          <w:tcPr>
            <w:tcW w:w="4361" w:type="dxa"/>
          </w:tcPr>
          <w:p>
            <w:pPr>
              <w:tabs>
                <w:tab w:val="left" w:pos="397"/>
              </w:tabs>
              <w:spacing w:before="120" w:after="120" w:line="360" w:lineRule="auto"/>
              <w:rPr>
                <w:rFonts w:cs="Arial"/>
                <w:b/>
                <w:color w:val="008080"/>
                <w:sz w:val="20"/>
                <w:lang w:val="it-IT"/>
              </w:rPr>
            </w:pPr>
            <w:r>
              <w:rPr>
                <w:rFonts w:cs="Arial"/>
                <w:b/>
                <w:color w:val="008080"/>
                <w:sz w:val="20"/>
                <w:lang w:val="it-IT"/>
              </w:rPr>
              <w:t>Novità in ordine di importanza</w:t>
            </w:r>
          </w:p>
        </w:tc>
        <w:tc>
          <w:tcPr>
            <w:tcW w:w="4359" w:type="dxa"/>
          </w:tcPr>
          <w:p>
            <w:pPr>
              <w:tabs>
                <w:tab w:val="left" w:pos="397"/>
              </w:tabs>
              <w:spacing w:before="120" w:after="120" w:line="360" w:lineRule="auto"/>
              <w:rPr>
                <w:rFonts w:cs="Arial"/>
                <w:b/>
                <w:color w:val="008080"/>
                <w:sz w:val="20"/>
                <w:lang w:val="it-IT"/>
              </w:rPr>
            </w:pPr>
            <w:r>
              <w:rPr>
                <w:rFonts w:cs="Arial"/>
                <w:b/>
                <w:color w:val="008080"/>
                <w:sz w:val="20"/>
                <w:lang w:val="it-IT"/>
              </w:rPr>
              <w:t>Motivazioni, spiegazioni, ripercussioni</w:t>
            </w:r>
          </w:p>
        </w:tc>
      </w:tr>
      <w:tr>
        <w:tc>
          <w:tcPr>
            <w:tcW w:w="4361" w:type="dxa"/>
          </w:tcPr>
          <w:p>
            <w:pPr>
              <w:tabs>
                <w:tab w:val="left" w:pos="397"/>
              </w:tabs>
              <w:spacing w:before="60" w:after="60" w:line="360" w:lineRule="auto"/>
              <w:rPr>
                <w:rFonts w:cs="Arial"/>
                <w:i/>
                <w:color w:val="008080"/>
                <w:sz w:val="20"/>
                <w:lang w:val="it-IT"/>
              </w:rPr>
            </w:pPr>
            <w:r>
              <w:rPr>
                <w:rFonts w:cs="Arial"/>
                <w:i/>
                <w:color w:val="008080"/>
                <w:sz w:val="20"/>
                <w:lang w:val="it-IT"/>
              </w:rPr>
              <w:t>Impostazione della formazione professionale di base, nuova sistematica e nuovi indirizzi professionali.</w:t>
            </w:r>
          </w:p>
        </w:tc>
        <w:tc>
          <w:tcPr>
            <w:tcW w:w="4359" w:type="dxa"/>
          </w:tcPr>
          <w:p>
            <w:pPr>
              <w:tabs>
                <w:tab w:val="left" w:pos="397"/>
              </w:tabs>
              <w:spacing w:before="60" w:after="60" w:line="360" w:lineRule="auto"/>
              <w:rPr>
                <w:rFonts w:cs="Arial"/>
                <w:i/>
                <w:color w:val="008080"/>
                <w:sz w:val="20"/>
                <w:lang w:val="it-IT"/>
              </w:rPr>
            </w:pPr>
            <w:r>
              <w:rPr>
                <w:rFonts w:cs="Arial"/>
                <w:i/>
                <w:color w:val="008080"/>
                <w:sz w:val="20"/>
                <w:lang w:val="it-IT"/>
              </w:rPr>
              <w:t>Informazioni generali sulla formazione professionale di base. Spiegare l’idea di fondo. Formazione nei tre luoghi deputati.</w:t>
            </w:r>
          </w:p>
        </w:tc>
      </w:tr>
      <w:tr>
        <w:tc>
          <w:tcPr>
            <w:tcW w:w="4361" w:type="dxa"/>
          </w:tcPr>
          <w:p>
            <w:pPr>
              <w:tabs>
                <w:tab w:val="left" w:pos="397"/>
              </w:tabs>
              <w:spacing w:before="60" w:after="60" w:line="360" w:lineRule="auto"/>
              <w:rPr>
                <w:rFonts w:cs="Arial"/>
                <w:b/>
                <w:i/>
                <w:color w:val="008080"/>
                <w:sz w:val="20"/>
                <w:lang w:val="it-IT"/>
              </w:rPr>
            </w:pPr>
            <w:r>
              <w:rPr>
                <w:rFonts w:cs="Arial"/>
                <w:i/>
                <w:color w:val="008080"/>
                <w:sz w:val="20"/>
                <w:lang w:val="it-IT"/>
              </w:rPr>
              <w:t>Ordinanza, piano di formazione e profilo di qualificazione.</w:t>
            </w:r>
          </w:p>
        </w:tc>
        <w:tc>
          <w:tcPr>
            <w:tcW w:w="4359" w:type="dxa"/>
          </w:tcPr>
          <w:p>
            <w:pPr>
              <w:tabs>
                <w:tab w:val="left" w:pos="397"/>
              </w:tabs>
              <w:spacing w:before="60" w:after="60" w:line="360" w:lineRule="auto"/>
              <w:rPr>
                <w:rFonts w:cs="Arial"/>
                <w:i/>
                <w:color w:val="008080"/>
                <w:sz w:val="20"/>
                <w:lang w:val="it-IT"/>
              </w:rPr>
            </w:pPr>
            <w:r>
              <w:rPr>
                <w:rFonts w:cs="Arial"/>
                <w:i/>
                <w:color w:val="008080"/>
                <w:sz w:val="20"/>
                <w:lang w:val="it-IT"/>
              </w:rPr>
              <w:t>Impostazione, struttura, concetti.</w:t>
            </w:r>
          </w:p>
        </w:tc>
      </w:tr>
      <w:tr>
        <w:tc>
          <w:tcPr>
            <w:tcW w:w="4361" w:type="dxa"/>
          </w:tcPr>
          <w:p>
            <w:pPr>
              <w:tabs>
                <w:tab w:val="left" w:pos="397"/>
              </w:tabs>
              <w:spacing w:before="60" w:after="60" w:line="360" w:lineRule="auto"/>
              <w:rPr>
                <w:rFonts w:cs="Arial"/>
                <w:i/>
                <w:color w:val="008080"/>
                <w:sz w:val="20"/>
                <w:lang w:val="it-IT"/>
              </w:rPr>
            </w:pPr>
            <w:r>
              <w:rPr>
                <w:rFonts w:cs="Arial"/>
                <w:i/>
                <w:color w:val="008080"/>
                <w:sz w:val="20"/>
                <w:lang w:val="it-IT"/>
              </w:rPr>
              <w:t>Competenze operative.</w:t>
            </w:r>
          </w:p>
        </w:tc>
        <w:tc>
          <w:tcPr>
            <w:tcW w:w="4359" w:type="dxa"/>
          </w:tcPr>
          <w:p>
            <w:pPr>
              <w:tabs>
                <w:tab w:val="left" w:pos="397"/>
              </w:tabs>
              <w:spacing w:before="60" w:after="60" w:line="360" w:lineRule="auto"/>
              <w:rPr>
                <w:rFonts w:cs="Arial"/>
                <w:i/>
                <w:color w:val="008080"/>
                <w:sz w:val="20"/>
                <w:lang w:val="it-IT"/>
              </w:rPr>
            </w:pPr>
            <w:r>
              <w:rPr>
                <w:rFonts w:cs="Arial"/>
                <w:i/>
                <w:color w:val="008080"/>
                <w:sz w:val="20"/>
                <w:lang w:val="it-IT"/>
              </w:rPr>
              <w:t>Motivazione, integrazione nella formazione.</w:t>
            </w:r>
          </w:p>
        </w:tc>
      </w:tr>
      <w:tr>
        <w:tc>
          <w:tcPr>
            <w:tcW w:w="4361" w:type="dxa"/>
          </w:tcPr>
          <w:p>
            <w:pPr>
              <w:tabs>
                <w:tab w:val="left" w:pos="397"/>
              </w:tabs>
              <w:spacing w:before="60" w:after="60" w:line="360" w:lineRule="auto"/>
              <w:rPr>
                <w:rFonts w:cs="Arial"/>
                <w:i/>
                <w:color w:val="008080"/>
                <w:sz w:val="20"/>
                <w:lang w:val="it-IT"/>
              </w:rPr>
            </w:pPr>
            <w:r>
              <w:rPr>
                <w:rFonts w:cs="Arial"/>
                <w:i/>
                <w:color w:val="008080"/>
                <w:sz w:val="20"/>
                <w:lang w:val="it-IT"/>
              </w:rPr>
              <w:t>Ideazione e impostazione del programma d’insegnamento per le scuole professionali.</w:t>
            </w:r>
          </w:p>
        </w:tc>
        <w:tc>
          <w:tcPr>
            <w:tcW w:w="4359" w:type="dxa"/>
          </w:tcPr>
          <w:p>
            <w:pPr>
              <w:tabs>
                <w:tab w:val="left" w:pos="397"/>
              </w:tabs>
              <w:spacing w:before="60" w:after="60" w:line="360" w:lineRule="auto"/>
              <w:rPr>
                <w:rFonts w:cs="Arial"/>
                <w:i/>
                <w:color w:val="008080"/>
                <w:sz w:val="20"/>
                <w:lang w:val="it-IT"/>
              </w:rPr>
            </w:pPr>
            <w:r>
              <w:rPr>
                <w:rFonts w:cs="Arial"/>
                <w:i/>
                <w:color w:val="008080"/>
                <w:sz w:val="20"/>
                <w:lang w:val="it-IT"/>
              </w:rPr>
              <w:t>Contenuti e procedure dell’insegnamento delle conoscenze professionali, programma d’istituto, ecc.</w:t>
            </w:r>
          </w:p>
        </w:tc>
      </w:tr>
      <w:tr>
        <w:tc>
          <w:tcPr>
            <w:tcW w:w="4361" w:type="dxa"/>
          </w:tcPr>
          <w:p>
            <w:pPr>
              <w:spacing w:before="60" w:after="60" w:line="360" w:lineRule="auto"/>
              <w:rPr>
                <w:rFonts w:cs="Arial"/>
                <w:i/>
                <w:color w:val="008080"/>
                <w:sz w:val="20"/>
                <w:lang w:val="it-IT"/>
              </w:rPr>
            </w:pPr>
            <w:r>
              <w:rPr>
                <w:rFonts w:cs="Arial"/>
                <w:i/>
                <w:color w:val="008080"/>
                <w:sz w:val="20"/>
                <w:lang w:val="it-IT"/>
              </w:rPr>
              <w:t>Ideazione e impostazione dei corsi interaziendali.</w:t>
            </w:r>
          </w:p>
        </w:tc>
        <w:tc>
          <w:tcPr>
            <w:tcW w:w="4359" w:type="dxa"/>
          </w:tcPr>
          <w:p>
            <w:pPr>
              <w:tabs>
                <w:tab w:val="left" w:pos="397"/>
              </w:tabs>
              <w:spacing w:before="60" w:after="60" w:line="360" w:lineRule="auto"/>
              <w:rPr>
                <w:rFonts w:cs="Arial"/>
                <w:i/>
                <w:color w:val="008080"/>
                <w:sz w:val="20"/>
                <w:lang w:val="it-IT"/>
              </w:rPr>
            </w:pPr>
            <w:r>
              <w:rPr>
                <w:rFonts w:cs="Arial"/>
                <w:i/>
                <w:color w:val="008080"/>
                <w:sz w:val="20"/>
                <w:lang w:val="it-IT"/>
              </w:rPr>
              <w:t>Programma di formazione dei corsi interaziendali, controlli delle competenze, ruolo dei formatori.</w:t>
            </w:r>
          </w:p>
        </w:tc>
      </w:tr>
      <w:tr>
        <w:tc>
          <w:tcPr>
            <w:tcW w:w="4361" w:type="dxa"/>
          </w:tcPr>
          <w:p>
            <w:pPr>
              <w:spacing w:before="60" w:after="60" w:line="360" w:lineRule="auto"/>
              <w:rPr>
                <w:rFonts w:cs="Arial"/>
                <w:i/>
                <w:color w:val="008080"/>
                <w:sz w:val="20"/>
                <w:lang w:val="it-IT"/>
              </w:rPr>
            </w:pPr>
            <w:r>
              <w:rPr>
                <w:rFonts w:cs="Arial"/>
                <w:i/>
                <w:color w:val="008080"/>
                <w:sz w:val="20"/>
                <w:lang w:val="it-IT"/>
              </w:rPr>
              <w:t>Ideazione e impostazione del materiale relativo alla formazione di base in azienda.</w:t>
            </w:r>
          </w:p>
        </w:tc>
        <w:tc>
          <w:tcPr>
            <w:tcW w:w="4359" w:type="dxa"/>
          </w:tcPr>
          <w:p>
            <w:pPr>
              <w:tabs>
                <w:tab w:val="left" w:pos="397"/>
              </w:tabs>
              <w:spacing w:before="60" w:after="60" w:line="360" w:lineRule="auto"/>
              <w:rPr>
                <w:rFonts w:cs="Arial"/>
                <w:i/>
                <w:color w:val="008080"/>
                <w:sz w:val="20"/>
                <w:lang w:val="it-IT"/>
              </w:rPr>
            </w:pPr>
            <w:r>
              <w:rPr>
                <w:rFonts w:cs="Arial"/>
                <w:i/>
                <w:color w:val="008080"/>
                <w:sz w:val="20"/>
                <w:lang w:val="it-IT"/>
              </w:rPr>
              <w:t>Da definire.</w:t>
            </w:r>
          </w:p>
        </w:tc>
      </w:tr>
      <w:tr>
        <w:tc>
          <w:tcPr>
            <w:tcW w:w="4361" w:type="dxa"/>
          </w:tcPr>
          <w:p>
            <w:pPr>
              <w:spacing w:before="60" w:after="60" w:line="360" w:lineRule="auto"/>
              <w:rPr>
                <w:rFonts w:cs="Arial"/>
                <w:i/>
                <w:color w:val="008080"/>
                <w:sz w:val="20"/>
                <w:lang w:val="it-IT"/>
              </w:rPr>
            </w:pPr>
            <w:r>
              <w:rPr>
                <w:rFonts w:cs="Arial"/>
                <w:i/>
                <w:color w:val="008080"/>
                <w:sz w:val="20"/>
                <w:lang w:val="it-IT"/>
              </w:rPr>
              <w:t>Documentazione dell’apprendimento.</w:t>
            </w:r>
          </w:p>
        </w:tc>
        <w:tc>
          <w:tcPr>
            <w:tcW w:w="4359" w:type="dxa"/>
          </w:tcPr>
          <w:p>
            <w:pPr>
              <w:tabs>
                <w:tab w:val="left" w:pos="397"/>
              </w:tabs>
              <w:spacing w:before="60" w:after="60" w:line="360" w:lineRule="auto"/>
              <w:rPr>
                <w:rFonts w:cs="Arial"/>
                <w:i/>
                <w:color w:val="008080"/>
                <w:sz w:val="20"/>
                <w:lang w:val="it-IT"/>
              </w:rPr>
            </w:pPr>
            <w:r>
              <w:rPr>
                <w:rFonts w:cs="Arial"/>
                <w:i/>
                <w:color w:val="008080"/>
                <w:sz w:val="20"/>
                <w:lang w:val="it-IT"/>
              </w:rPr>
              <w:t>Orientamento alle competenze operative, sicurezza sul lavoro.</w:t>
            </w:r>
          </w:p>
        </w:tc>
      </w:tr>
      <w:tr>
        <w:tc>
          <w:tcPr>
            <w:tcW w:w="4361" w:type="dxa"/>
          </w:tcPr>
          <w:p>
            <w:pPr>
              <w:spacing w:before="60" w:after="60" w:line="360" w:lineRule="auto"/>
              <w:rPr>
                <w:rFonts w:cs="Arial"/>
                <w:i/>
                <w:color w:val="008080"/>
                <w:sz w:val="20"/>
                <w:lang w:val="it-IT"/>
              </w:rPr>
            </w:pPr>
            <w:r>
              <w:rPr>
                <w:rFonts w:cs="Arial"/>
                <w:i/>
                <w:color w:val="008080"/>
                <w:sz w:val="20"/>
                <w:lang w:val="it-IT"/>
              </w:rPr>
              <w:t>Procedura di qualificazione con esame finale.</w:t>
            </w:r>
          </w:p>
        </w:tc>
        <w:tc>
          <w:tcPr>
            <w:tcW w:w="4359" w:type="dxa"/>
          </w:tcPr>
          <w:p>
            <w:pPr>
              <w:tabs>
                <w:tab w:val="left" w:pos="397"/>
              </w:tabs>
              <w:spacing w:before="60" w:after="60" w:line="360" w:lineRule="auto"/>
              <w:rPr>
                <w:rFonts w:cs="Arial"/>
                <w:i/>
                <w:color w:val="008080"/>
                <w:sz w:val="20"/>
                <w:lang w:val="it-IT"/>
              </w:rPr>
            </w:pPr>
            <w:r>
              <w:rPr>
                <w:rFonts w:cs="Arial"/>
                <w:i/>
                <w:color w:val="008080"/>
                <w:sz w:val="20"/>
                <w:lang w:val="it-IT"/>
              </w:rPr>
              <w:t>Lavoro pratico sotto forma di lavoro pratico prestabilito o di lavoro pratico individuale, conoscenze professionali, struttura e svolgimento di un colloquio professionale, svolgimento adeguato alle esigenze dei destinatari.</w:t>
            </w:r>
          </w:p>
        </w:tc>
      </w:tr>
      <w:t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60" w:after="60" w:line="360" w:lineRule="auto"/>
              <w:rPr>
                <w:rFonts w:cs="Arial"/>
                <w:i/>
                <w:color w:val="008080"/>
                <w:sz w:val="20"/>
                <w:lang w:val="it-IT"/>
              </w:rPr>
            </w:pPr>
            <w:bookmarkStart w:id="14" w:name="_Toc393096015"/>
            <w:r>
              <w:rPr>
                <w:rFonts w:cs="Arial"/>
                <w:i/>
                <w:color w:val="008080"/>
                <w:sz w:val="20"/>
                <w:lang w:val="it-IT"/>
              </w:rPr>
              <w:t>Integrazione con i documenti di cui all’allegato 1 del piano di formazione.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397"/>
              </w:tabs>
              <w:spacing w:before="60" w:after="60" w:line="360" w:lineRule="auto"/>
              <w:rPr>
                <w:rFonts w:cs="Arial"/>
                <w:i/>
                <w:color w:val="008080"/>
                <w:sz w:val="20"/>
                <w:lang w:val="it-IT"/>
              </w:rPr>
            </w:pPr>
          </w:p>
        </w:tc>
      </w:tr>
    </w:tbl>
    <w:p>
      <w:pPr>
        <w:jc w:val="both"/>
        <w:rPr>
          <w:lang w:val="it-IT"/>
        </w:rPr>
      </w:pPr>
    </w:p>
    <w:p>
      <w:pPr>
        <w:jc w:val="both"/>
        <w:rPr>
          <w:b/>
          <w:sz w:val="28"/>
          <w:lang w:val="it-IT" w:eastAsia="de-DE"/>
        </w:rPr>
      </w:pPr>
      <w:r>
        <w:rPr>
          <w:lang w:val="it-IT"/>
        </w:rPr>
        <w:br w:type="page"/>
      </w:r>
    </w:p>
    <w:p>
      <w:pPr>
        <w:pStyle w:val="BFAberschriftEbene1"/>
      </w:pPr>
      <w:bookmarkStart w:id="15" w:name="_Toc46301568"/>
      <w:bookmarkEnd w:id="14"/>
      <w:r>
        <w:lastRenderedPageBreak/>
        <w:t>Temi delle misure di informazione e preparazione</w:t>
      </w:r>
      <w:bookmarkEnd w:id="15"/>
    </w:p>
    <w:p>
      <w:pPr>
        <w:spacing w:before="120" w:after="120" w:line="360" w:lineRule="auto"/>
        <w:jc w:val="both"/>
        <w:rPr>
          <w:lang w:val="it-IT"/>
        </w:rPr>
      </w:pPr>
      <w:r>
        <w:rPr>
          <w:sz w:val="20"/>
          <w:lang w:val="it-IT"/>
        </w:rPr>
        <w:t>Qui di seguito sono riportati i destinatari delle misure di informazione e preparazione e i temi affrontati (</w:t>
      </w:r>
      <w:r>
        <w:rPr>
          <w:rFonts w:cs="Arial"/>
          <w:sz w:val="20"/>
          <w:lang w:val="it-IT"/>
        </w:rPr>
        <w:t>«</w:t>
      </w:r>
      <w:r>
        <w:rPr>
          <w:sz w:val="20"/>
          <w:lang w:val="it-IT"/>
        </w:rPr>
        <w:t>I</w:t>
      </w:r>
      <w:r>
        <w:rPr>
          <w:rFonts w:cs="Arial"/>
          <w:sz w:val="20"/>
          <w:lang w:val="it-IT"/>
        </w:rPr>
        <w:t>»</w:t>
      </w:r>
      <w:r>
        <w:rPr>
          <w:sz w:val="20"/>
          <w:lang w:val="it-IT"/>
        </w:rPr>
        <w:t xml:space="preserve"> = Informazione, </w:t>
      </w:r>
      <w:r>
        <w:rPr>
          <w:rFonts w:cs="Arial"/>
          <w:sz w:val="20"/>
          <w:lang w:val="it-IT"/>
        </w:rPr>
        <w:t>«P»</w:t>
      </w:r>
      <w:r>
        <w:rPr>
          <w:sz w:val="20"/>
          <w:lang w:val="it-IT"/>
        </w:rPr>
        <w:t xml:space="preserve"> = Preparazione).</w:t>
      </w:r>
    </w:p>
    <w:p>
      <w:pPr>
        <w:jc w:val="both"/>
        <w:rPr>
          <w:b/>
          <w:i/>
          <w:color w:val="008080"/>
          <w:sz w:val="24"/>
          <w:szCs w:val="24"/>
          <w:lang w:val="it-IT"/>
        </w:rPr>
      </w:pPr>
      <w:r>
        <w:rPr>
          <w:b/>
          <w:i/>
          <w:color w:val="008080"/>
          <w:sz w:val="24"/>
          <w:szCs w:val="24"/>
          <w:lang w:val="it-IT"/>
        </w:rPr>
        <w:t>Esempi (da adeguare in base alla revisione della professione)</w:t>
      </w:r>
    </w:p>
    <w:p>
      <w:pPr>
        <w:jc w:val="both"/>
        <w:rPr>
          <w:b/>
          <w:i/>
          <w:color w:val="008080"/>
          <w:sz w:val="24"/>
          <w:szCs w:val="24"/>
          <w:lang w:val="it-IT"/>
        </w:rPr>
      </w:pP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93"/>
        <w:gridCol w:w="1402"/>
        <w:gridCol w:w="1403"/>
        <w:gridCol w:w="1498"/>
        <w:gridCol w:w="1307"/>
        <w:gridCol w:w="1528"/>
      </w:tblGrid>
      <w:tr>
        <w:trPr>
          <w:trHeight w:val="657"/>
        </w:trPr>
        <w:tc>
          <w:tcPr>
            <w:tcW w:w="1793" w:type="dxa"/>
          </w:tcPr>
          <w:p>
            <w:pPr>
              <w:tabs>
                <w:tab w:val="left" w:pos="397"/>
              </w:tabs>
              <w:spacing w:before="120" w:after="120" w:line="360" w:lineRule="auto"/>
              <w:rPr>
                <w:rFonts w:cs="Arial"/>
                <w:b/>
                <w:color w:val="008080"/>
                <w:sz w:val="20"/>
                <w:lang w:val="it-IT"/>
              </w:rPr>
            </w:pPr>
            <w:r>
              <w:rPr>
                <w:rFonts w:cs="Arial"/>
                <w:b/>
                <w:color w:val="008080"/>
                <w:sz w:val="20"/>
                <w:lang w:val="it-IT"/>
              </w:rPr>
              <w:t>Tema</w:t>
            </w:r>
          </w:p>
        </w:tc>
        <w:tc>
          <w:tcPr>
            <w:tcW w:w="1402" w:type="dxa"/>
          </w:tcPr>
          <w:p>
            <w:pPr>
              <w:tabs>
                <w:tab w:val="left" w:pos="397"/>
              </w:tabs>
              <w:spacing w:before="120" w:after="120" w:line="360" w:lineRule="auto"/>
              <w:rPr>
                <w:rFonts w:cs="Arial"/>
                <w:b/>
                <w:color w:val="008080"/>
                <w:sz w:val="20"/>
                <w:lang w:val="it-IT"/>
              </w:rPr>
            </w:pPr>
            <w:r>
              <w:rPr>
                <w:rFonts w:cs="Arial"/>
                <w:b/>
                <w:color w:val="008080"/>
                <w:sz w:val="20"/>
                <w:lang w:val="it-IT"/>
              </w:rPr>
              <w:t>Formatori attivi nelle aziende di tirocinio</w:t>
            </w:r>
          </w:p>
        </w:tc>
        <w:tc>
          <w:tcPr>
            <w:tcW w:w="1403" w:type="dxa"/>
          </w:tcPr>
          <w:p>
            <w:pPr>
              <w:tabs>
                <w:tab w:val="left" w:pos="397"/>
              </w:tabs>
              <w:spacing w:before="120" w:after="120" w:line="360" w:lineRule="auto"/>
              <w:rPr>
                <w:rFonts w:cs="Arial"/>
                <w:b/>
                <w:color w:val="008080"/>
                <w:sz w:val="20"/>
                <w:lang w:val="it-IT"/>
              </w:rPr>
            </w:pPr>
            <w:r>
              <w:rPr>
                <w:rFonts w:cs="Arial"/>
                <w:b/>
                <w:color w:val="008080"/>
                <w:sz w:val="20"/>
                <w:lang w:val="it-IT"/>
              </w:rPr>
              <w:t xml:space="preserve">Membri della direzione scolastica, docenti </w:t>
            </w:r>
          </w:p>
        </w:tc>
        <w:tc>
          <w:tcPr>
            <w:tcW w:w="1498" w:type="dxa"/>
          </w:tcPr>
          <w:p>
            <w:pPr>
              <w:tabs>
                <w:tab w:val="left" w:pos="397"/>
              </w:tabs>
              <w:spacing w:before="120" w:after="120" w:line="360" w:lineRule="auto"/>
              <w:rPr>
                <w:rFonts w:cs="Arial"/>
                <w:b/>
                <w:color w:val="008080"/>
                <w:sz w:val="20"/>
                <w:lang w:val="it-IT"/>
              </w:rPr>
            </w:pPr>
            <w:r>
              <w:rPr>
                <w:rFonts w:cs="Arial"/>
                <w:b/>
                <w:color w:val="008080"/>
                <w:sz w:val="20"/>
                <w:lang w:val="it-IT"/>
              </w:rPr>
              <w:t>Formatori attivi nei corsi interaziendali</w:t>
            </w:r>
          </w:p>
        </w:tc>
        <w:tc>
          <w:tcPr>
            <w:tcW w:w="1307" w:type="dxa"/>
          </w:tcPr>
          <w:p>
            <w:pPr>
              <w:tabs>
                <w:tab w:val="left" w:pos="397"/>
              </w:tabs>
              <w:spacing w:before="120" w:after="120" w:line="360" w:lineRule="auto"/>
              <w:rPr>
                <w:rFonts w:cs="Arial"/>
                <w:b/>
                <w:color w:val="008080"/>
                <w:sz w:val="20"/>
                <w:lang w:val="it-IT"/>
              </w:rPr>
            </w:pPr>
            <w:r>
              <w:rPr>
                <w:rFonts w:cs="Arial"/>
                <w:b/>
                <w:color w:val="008080"/>
                <w:sz w:val="20"/>
                <w:lang w:val="it-IT"/>
              </w:rPr>
              <w:t xml:space="preserve">Periti </w:t>
            </w:r>
          </w:p>
        </w:tc>
        <w:tc>
          <w:tcPr>
            <w:tcW w:w="1528" w:type="dxa"/>
          </w:tcPr>
          <w:p>
            <w:pPr>
              <w:tabs>
                <w:tab w:val="left" w:pos="397"/>
              </w:tabs>
              <w:spacing w:before="120" w:after="120" w:line="360" w:lineRule="auto"/>
              <w:rPr>
                <w:rFonts w:cs="Arial"/>
                <w:b/>
                <w:color w:val="008080"/>
                <w:sz w:val="20"/>
                <w:lang w:val="it-IT"/>
              </w:rPr>
            </w:pPr>
            <w:r>
              <w:rPr>
                <w:rFonts w:cs="Arial"/>
                <w:b/>
                <w:color w:val="008080"/>
                <w:sz w:val="20"/>
                <w:lang w:val="it-IT"/>
              </w:rPr>
              <w:t>Competenza</w:t>
            </w:r>
          </w:p>
        </w:tc>
      </w:tr>
      <w:tr>
        <w:trPr>
          <w:trHeight w:val="703"/>
        </w:trPr>
        <w:tc>
          <w:tcPr>
            <w:tcW w:w="1793" w:type="dxa"/>
          </w:tcPr>
          <w:p>
            <w:pPr>
              <w:tabs>
                <w:tab w:val="left" w:pos="397"/>
              </w:tabs>
              <w:spacing w:before="60" w:after="60" w:line="360" w:lineRule="auto"/>
              <w:jc w:val="both"/>
              <w:rPr>
                <w:rFonts w:cs="Arial"/>
                <w:i/>
                <w:color w:val="008080"/>
                <w:sz w:val="20"/>
                <w:lang w:val="it-IT"/>
              </w:rPr>
            </w:pPr>
            <w:r>
              <w:rPr>
                <w:rFonts w:cs="Arial"/>
                <w:i/>
                <w:color w:val="008080"/>
                <w:sz w:val="20"/>
                <w:lang w:val="it-IT"/>
              </w:rPr>
              <w:t>Impostazione, ordinanza, piano di formazione</w:t>
            </w:r>
          </w:p>
        </w:tc>
        <w:tc>
          <w:tcPr>
            <w:tcW w:w="1402" w:type="dxa"/>
          </w:tcPr>
          <w:p>
            <w:pPr>
              <w:tabs>
                <w:tab w:val="left" w:pos="397"/>
              </w:tabs>
              <w:spacing w:before="60" w:after="60" w:line="360" w:lineRule="auto"/>
              <w:jc w:val="both"/>
              <w:rPr>
                <w:rFonts w:cs="Arial"/>
                <w:i/>
                <w:color w:val="008080"/>
                <w:sz w:val="20"/>
                <w:lang w:val="it-IT"/>
              </w:rPr>
            </w:pPr>
            <w:r>
              <w:rPr>
                <w:rFonts w:cs="Arial"/>
                <w:i/>
                <w:color w:val="008080"/>
                <w:sz w:val="20"/>
                <w:lang w:val="it-IT"/>
              </w:rPr>
              <w:t>I</w:t>
            </w:r>
          </w:p>
        </w:tc>
        <w:tc>
          <w:tcPr>
            <w:tcW w:w="1403" w:type="dxa"/>
          </w:tcPr>
          <w:p>
            <w:pPr>
              <w:tabs>
                <w:tab w:val="left" w:pos="397"/>
              </w:tabs>
              <w:spacing w:before="60" w:after="60" w:line="360" w:lineRule="auto"/>
              <w:jc w:val="both"/>
              <w:rPr>
                <w:rFonts w:cs="Arial"/>
                <w:i/>
                <w:color w:val="008080"/>
                <w:sz w:val="20"/>
                <w:lang w:val="it-IT"/>
              </w:rPr>
            </w:pPr>
            <w:r>
              <w:rPr>
                <w:rFonts w:cs="Arial"/>
                <w:i/>
                <w:color w:val="008080"/>
                <w:sz w:val="20"/>
                <w:lang w:val="it-IT"/>
              </w:rPr>
              <w:t>I</w:t>
            </w:r>
          </w:p>
        </w:tc>
        <w:tc>
          <w:tcPr>
            <w:tcW w:w="1498" w:type="dxa"/>
          </w:tcPr>
          <w:p>
            <w:pPr>
              <w:tabs>
                <w:tab w:val="left" w:pos="397"/>
              </w:tabs>
              <w:spacing w:before="60" w:after="60" w:line="360" w:lineRule="auto"/>
              <w:jc w:val="both"/>
              <w:rPr>
                <w:rFonts w:cs="Arial"/>
                <w:i/>
                <w:color w:val="008080"/>
                <w:sz w:val="20"/>
                <w:lang w:val="it-IT"/>
              </w:rPr>
            </w:pPr>
            <w:r>
              <w:rPr>
                <w:rFonts w:cs="Arial"/>
                <w:i/>
                <w:color w:val="008080"/>
                <w:sz w:val="20"/>
                <w:lang w:val="it-IT"/>
              </w:rPr>
              <w:t>I</w:t>
            </w:r>
          </w:p>
        </w:tc>
        <w:tc>
          <w:tcPr>
            <w:tcW w:w="1307" w:type="dxa"/>
          </w:tcPr>
          <w:p>
            <w:pPr>
              <w:tabs>
                <w:tab w:val="left" w:pos="397"/>
              </w:tabs>
              <w:spacing w:before="60" w:after="60" w:line="360" w:lineRule="auto"/>
              <w:jc w:val="both"/>
              <w:rPr>
                <w:rFonts w:cs="Arial"/>
                <w:i/>
                <w:color w:val="008080"/>
                <w:sz w:val="20"/>
                <w:lang w:val="it-IT"/>
              </w:rPr>
            </w:pPr>
            <w:r>
              <w:rPr>
                <w:rFonts w:cs="Arial"/>
                <w:i/>
                <w:color w:val="008080"/>
                <w:sz w:val="20"/>
                <w:lang w:val="it-IT"/>
              </w:rPr>
              <w:t>I</w:t>
            </w:r>
          </w:p>
        </w:tc>
        <w:tc>
          <w:tcPr>
            <w:tcW w:w="1528" w:type="dxa"/>
          </w:tcPr>
          <w:p>
            <w:pPr>
              <w:tabs>
                <w:tab w:val="left" w:pos="397"/>
              </w:tabs>
              <w:spacing w:before="60" w:after="60" w:line="360" w:lineRule="auto"/>
              <w:jc w:val="both"/>
              <w:rPr>
                <w:rFonts w:cs="Arial"/>
                <w:i/>
                <w:color w:val="008080"/>
                <w:sz w:val="20"/>
                <w:lang w:val="it-IT"/>
              </w:rPr>
            </w:pPr>
            <w:r>
              <w:rPr>
                <w:rFonts w:cs="Arial"/>
                <w:i/>
                <w:color w:val="008080"/>
                <w:sz w:val="20"/>
                <w:lang w:val="it-IT"/>
              </w:rPr>
              <w:t>Cantoni</w:t>
            </w:r>
          </w:p>
        </w:tc>
      </w:tr>
      <w:tr>
        <w:trPr>
          <w:trHeight w:val="703"/>
        </w:trPr>
        <w:tc>
          <w:tcPr>
            <w:tcW w:w="1793" w:type="dxa"/>
          </w:tcPr>
          <w:p>
            <w:pPr>
              <w:tabs>
                <w:tab w:val="left" w:pos="397"/>
              </w:tabs>
              <w:spacing w:before="60" w:after="60" w:line="360" w:lineRule="auto"/>
              <w:jc w:val="both"/>
              <w:rPr>
                <w:rFonts w:cs="Arial"/>
                <w:i/>
                <w:color w:val="008080"/>
                <w:sz w:val="20"/>
                <w:lang w:val="it-IT"/>
              </w:rPr>
            </w:pPr>
            <w:r>
              <w:rPr>
                <w:rFonts w:cs="Arial"/>
                <w:i/>
                <w:color w:val="008080"/>
                <w:sz w:val="20"/>
                <w:lang w:val="it-IT"/>
              </w:rPr>
              <w:t>Formazione professionale pratica</w:t>
            </w:r>
          </w:p>
        </w:tc>
        <w:tc>
          <w:tcPr>
            <w:tcW w:w="1402" w:type="dxa"/>
          </w:tcPr>
          <w:p>
            <w:pPr>
              <w:tabs>
                <w:tab w:val="left" w:pos="397"/>
              </w:tabs>
              <w:spacing w:before="60" w:after="60" w:line="360" w:lineRule="auto"/>
              <w:jc w:val="both"/>
              <w:rPr>
                <w:rFonts w:cs="Arial"/>
                <w:i/>
                <w:color w:val="008080"/>
                <w:sz w:val="20"/>
                <w:lang w:val="it-IT"/>
              </w:rPr>
            </w:pPr>
            <w:r>
              <w:rPr>
                <w:rFonts w:cs="Arial"/>
                <w:i/>
                <w:color w:val="008080"/>
                <w:sz w:val="20"/>
                <w:lang w:val="it-IT"/>
              </w:rPr>
              <w:t>P</w:t>
            </w:r>
          </w:p>
        </w:tc>
        <w:tc>
          <w:tcPr>
            <w:tcW w:w="1403" w:type="dxa"/>
          </w:tcPr>
          <w:p>
            <w:pPr>
              <w:tabs>
                <w:tab w:val="left" w:pos="397"/>
              </w:tabs>
              <w:spacing w:before="60" w:after="60" w:line="360" w:lineRule="auto"/>
              <w:jc w:val="both"/>
              <w:rPr>
                <w:rFonts w:cs="Arial"/>
                <w:i/>
                <w:color w:val="008080"/>
                <w:sz w:val="20"/>
                <w:lang w:val="it-IT"/>
              </w:rPr>
            </w:pPr>
            <w:r>
              <w:rPr>
                <w:rFonts w:cs="Arial"/>
                <w:i/>
                <w:color w:val="008080"/>
                <w:sz w:val="20"/>
                <w:lang w:val="it-IT"/>
              </w:rPr>
              <w:t>I</w:t>
            </w:r>
          </w:p>
        </w:tc>
        <w:tc>
          <w:tcPr>
            <w:tcW w:w="1498" w:type="dxa"/>
          </w:tcPr>
          <w:p>
            <w:pPr>
              <w:tabs>
                <w:tab w:val="left" w:pos="397"/>
              </w:tabs>
              <w:spacing w:before="60" w:after="60" w:line="360" w:lineRule="auto"/>
              <w:jc w:val="both"/>
              <w:rPr>
                <w:rFonts w:cs="Arial"/>
                <w:i/>
                <w:color w:val="008080"/>
                <w:sz w:val="20"/>
                <w:lang w:val="it-IT"/>
              </w:rPr>
            </w:pPr>
            <w:r>
              <w:rPr>
                <w:rFonts w:cs="Arial"/>
                <w:i/>
                <w:color w:val="008080"/>
                <w:sz w:val="20"/>
                <w:lang w:val="it-IT"/>
              </w:rPr>
              <w:t>I</w:t>
            </w:r>
          </w:p>
        </w:tc>
        <w:tc>
          <w:tcPr>
            <w:tcW w:w="1307" w:type="dxa"/>
          </w:tcPr>
          <w:p>
            <w:pPr>
              <w:tabs>
                <w:tab w:val="left" w:pos="397"/>
              </w:tabs>
              <w:spacing w:before="60" w:after="60" w:line="360" w:lineRule="auto"/>
              <w:jc w:val="both"/>
              <w:rPr>
                <w:rFonts w:cs="Arial"/>
                <w:i/>
                <w:color w:val="008080"/>
                <w:sz w:val="20"/>
                <w:lang w:val="it-IT"/>
              </w:rPr>
            </w:pPr>
            <w:r>
              <w:rPr>
                <w:rFonts w:cs="Arial"/>
                <w:i/>
                <w:color w:val="008080"/>
                <w:sz w:val="20"/>
                <w:lang w:val="it-IT"/>
              </w:rPr>
              <w:t>I</w:t>
            </w:r>
          </w:p>
        </w:tc>
        <w:tc>
          <w:tcPr>
            <w:tcW w:w="1528" w:type="dxa"/>
          </w:tcPr>
          <w:p>
            <w:pPr>
              <w:tabs>
                <w:tab w:val="left" w:pos="397"/>
              </w:tabs>
              <w:spacing w:before="60" w:after="60" w:line="360" w:lineRule="auto"/>
              <w:jc w:val="both"/>
              <w:rPr>
                <w:rFonts w:cs="Arial"/>
                <w:i/>
                <w:color w:val="008080"/>
                <w:sz w:val="20"/>
                <w:lang w:val="it-IT"/>
              </w:rPr>
            </w:pPr>
            <w:r>
              <w:rPr>
                <w:rFonts w:cs="Arial"/>
                <w:i/>
                <w:color w:val="008080"/>
                <w:sz w:val="20"/>
                <w:lang w:val="it-IT"/>
              </w:rPr>
              <w:t>Ente responsabile</w:t>
            </w:r>
          </w:p>
        </w:tc>
      </w:tr>
      <w:tr>
        <w:tc>
          <w:tcPr>
            <w:tcW w:w="1793" w:type="dxa"/>
          </w:tcPr>
          <w:p>
            <w:pPr>
              <w:tabs>
                <w:tab w:val="left" w:pos="397"/>
              </w:tabs>
              <w:spacing w:before="60" w:after="60" w:line="360" w:lineRule="auto"/>
              <w:jc w:val="both"/>
              <w:rPr>
                <w:rFonts w:cs="Arial"/>
                <w:i/>
                <w:color w:val="008080"/>
                <w:sz w:val="20"/>
                <w:lang w:val="it-IT"/>
              </w:rPr>
            </w:pPr>
            <w:r>
              <w:rPr>
                <w:rFonts w:cs="Arial"/>
                <w:i/>
                <w:color w:val="008080"/>
                <w:sz w:val="20"/>
                <w:lang w:val="it-IT"/>
              </w:rPr>
              <w:t xml:space="preserve">Corsi interaziendali </w:t>
            </w:r>
          </w:p>
        </w:tc>
        <w:tc>
          <w:tcPr>
            <w:tcW w:w="1402" w:type="dxa"/>
          </w:tcPr>
          <w:p>
            <w:pPr>
              <w:tabs>
                <w:tab w:val="left" w:pos="397"/>
              </w:tabs>
              <w:spacing w:before="60" w:after="60" w:line="360" w:lineRule="auto"/>
              <w:jc w:val="both"/>
              <w:rPr>
                <w:rFonts w:cs="Arial"/>
                <w:i/>
                <w:color w:val="008080"/>
                <w:sz w:val="20"/>
                <w:lang w:val="it-IT"/>
              </w:rPr>
            </w:pPr>
            <w:r>
              <w:rPr>
                <w:rFonts w:cs="Arial"/>
                <w:i/>
                <w:color w:val="008080"/>
                <w:sz w:val="20"/>
                <w:lang w:val="it-IT"/>
              </w:rPr>
              <w:t xml:space="preserve">I </w:t>
            </w:r>
          </w:p>
        </w:tc>
        <w:tc>
          <w:tcPr>
            <w:tcW w:w="1403" w:type="dxa"/>
          </w:tcPr>
          <w:p>
            <w:pPr>
              <w:tabs>
                <w:tab w:val="left" w:pos="397"/>
              </w:tabs>
              <w:spacing w:before="60" w:after="60" w:line="360" w:lineRule="auto"/>
              <w:jc w:val="both"/>
              <w:rPr>
                <w:rFonts w:cs="Arial"/>
                <w:i/>
                <w:color w:val="008080"/>
                <w:sz w:val="20"/>
                <w:lang w:val="it-IT"/>
              </w:rPr>
            </w:pPr>
            <w:r>
              <w:rPr>
                <w:rFonts w:cs="Arial"/>
                <w:i/>
                <w:color w:val="008080"/>
                <w:sz w:val="20"/>
                <w:lang w:val="it-IT"/>
              </w:rPr>
              <w:t xml:space="preserve">I </w:t>
            </w:r>
          </w:p>
        </w:tc>
        <w:tc>
          <w:tcPr>
            <w:tcW w:w="1498" w:type="dxa"/>
          </w:tcPr>
          <w:p>
            <w:pPr>
              <w:tabs>
                <w:tab w:val="left" w:pos="397"/>
              </w:tabs>
              <w:spacing w:before="60" w:after="60" w:line="360" w:lineRule="auto"/>
              <w:jc w:val="both"/>
              <w:rPr>
                <w:rFonts w:cs="Arial"/>
                <w:i/>
                <w:color w:val="008080"/>
                <w:sz w:val="20"/>
                <w:lang w:val="it-IT"/>
              </w:rPr>
            </w:pPr>
            <w:r>
              <w:rPr>
                <w:rFonts w:cs="Arial"/>
                <w:i/>
                <w:color w:val="008080"/>
                <w:sz w:val="20"/>
                <w:lang w:val="it-IT"/>
              </w:rPr>
              <w:t>P</w:t>
            </w:r>
          </w:p>
        </w:tc>
        <w:tc>
          <w:tcPr>
            <w:tcW w:w="1307" w:type="dxa"/>
          </w:tcPr>
          <w:p>
            <w:pPr>
              <w:tabs>
                <w:tab w:val="left" w:pos="397"/>
              </w:tabs>
              <w:spacing w:before="60" w:after="60" w:line="360" w:lineRule="auto"/>
              <w:jc w:val="both"/>
              <w:rPr>
                <w:rFonts w:cs="Arial"/>
                <w:i/>
                <w:color w:val="008080"/>
                <w:sz w:val="20"/>
                <w:lang w:val="it-IT"/>
              </w:rPr>
            </w:pPr>
            <w:r>
              <w:rPr>
                <w:rFonts w:cs="Arial"/>
                <w:i/>
                <w:color w:val="008080"/>
                <w:sz w:val="20"/>
                <w:lang w:val="it-IT"/>
              </w:rPr>
              <w:t xml:space="preserve">I </w:t>
            </w:r>
          </w:p>
        </w:tc>
        <w:tc>
          <w:tcPr>
            <w:tcW w:w="1528" w:type="dxa"/>
          </w:tcPr>
          <w:p>
            <w:pPr>
              <w:tabs>
                <w:tab w:val="left" w:pos="397"/>
              </w:tabs>
              <w:spacing w:before="60" w:after="60" w:line="360" w:lineRule="auto"/>
              <w:jc w:val="both"/>
              <w:rPr>
                <w:rFonts w:cs="Arial"/>
                <w:i/>
                <w:color w:val="008080"/>
                <w:sz w:val="20"/>
                <w:lang w:val="it-IT"/>
              </w:rPr>
            </w:pPr>
            <w:r>
              <w:rPr>
                <w:rFonts w:cs="Arial"/>
                <w:i/>
                <w:color w:val="008080"/>
                <w:sz w:val="20"/>
                <w:lang w:val="it-IT"/>
              </w:rPr>
              <w:t>Ente responsabile</w:t>
            </w:r>
          </w:p>
        </w:tc>
      </w:tr>
      <w:tr>
        <w:tc>
          <w:tcPr>
            <w:tcW w:w="1793" w:type="dxa"/>
          </w:tcPr>
          <w:p>
            <w:pPr>
              <w:tabs>
                <w:tab w:val="left" w:pos="397"/>
              </w:tabs>
              <w:spacing w:before="60" w:after="60" w:line="360" w:lineRule="auto"/>
              <w:jc w:val="both"/>
              <w:rPr>
                <w:rFonts w:cs="Arial"/>
                <w:i/>
                <w:color w:val="008080"/>
                <w:sz w:val="20"/>
                <w:lang w:val="it-IT"/>
              </w:rPr>
            </w:pPr>
            <w:r>
              <w:rPr>
                <w:rFonts w:cs="Arial"/>
                <w:i/>
                <w:color w:val="008080"/>
                <w:sz w:val="20"/>
                <w:lang w:val="it-IT"/>
              </w:rPr>
              <w:t xml:space="preserve">Formazione scolastica </w:t>
            </w:r>
          </w:p>
        </w:tc>
        <w:tc>
          <w:tcPr>
            <w:tcW w:w="1402" w:type="dxa"/>
          </w:tcPr>
          <w:p>
            <w:pPr>
              <w:tabs>
                <w:tab w:val="left" w:pos="397"/>
              </w:tabs>
              <w:spacing w:before="60" w:after="60" w:line="360" w:lineRule="auto"/>
              <w:jc w:val="both"/>
              <w:rPr>
                <w:rFonts w:cs="Arial"/>
                <w:i/>
                <w:color w:val="008080"/>
                <w:sz w:val="20"/>
                <w:lang w:val="it-IT"/>
              </w:rPr>
            </w:pPr>
            <w:r>
              <w:rPr>
                <w:rFonts w:cs="Arial"/>
                <w:i/>
                <w:color w:val="008080"/>
                <w:sz w:val="20"/>
                <w:lang w:val="it-IT"/>
              </w:rPr>
              <w:t>I</w:t>
            </w:r>
          </w:p>
        </w:tc>
        <w:tc>
          <w:tcPr>
            <w:tcW w:w="1403" w:type="dxa"/>
          </w:tcPr>
          <w:p>
            <w:pPr>
              <w:tabs>
                <w:tab w:val="left" w:pos="397"/>
              </w:tabs>
              <w:spacing w:before="60" w:after="60" w:line="360" w:lineRule="auto"/>
              <w:jc w:val="both"/>
              <w:rPr>
                <w:rFonts w:cs="Arial"/>
                <w:i/>
                <w:color w:val="008080"/>
                <w:sz w:val="20"/>
                <w:lang w:val="it-IT"/>
              </w:rPr>
            </w:pPr>
            <w:r>
              <w:rPr>
                <w:rFonts w:cs="Arial"/>
                <w:i/>
                <w:color w:val="008080"/>
                <w:sz w:val="20"/>
                <w:lang w:val="it-IT"/>
              </w:rPr>
              <w:t>P</w:t>
            </w:r>
          </w:p>
        </w:tc>
        <w:tc>
          <w:tcPr>
            <w:tcW w:w="1498" w:type="dxa"/>
          </w:tcPr>
          <w:p>
            <w:pPr>
              <w:tabs>
                <w:tab w:val="left" w:pos="397"/>
              </w:tabs>
              <w:spacing w:before="60" w:after="60" w:line="360" w:lineRule="auto"/>
              <w:jc w:val="both"/>
              <w:rPr>
                <w:rFonts w:cs="Arial"/>
                <w:i/>
                <w:color w:val="008080"/>
                <w:sz w:val="20"/>
                <w:lang w:val="it-IT"/>
              </w:rPr>
            </w:pPr>
            <w:r>
              <w:rPr>
                <w:rFonts w:cs="Arial"/>
                <w:i/>
                <w:color w:val="008080"/>
                <w:sz w:val="20"/>
                <w:lang w:val="it-IT"/>
              </w:rPr>
              <w:t>I</w:t>
            </w:r>
          </w:p>
        </w:tc>
        <w:tc>
          <w:tcPr>
            <w:tcW w:w="1307" w:type="dxa"/>
          </w:tcPr>
          <w:p>
            <w:pPr>
              <w:tabs>
                <w:tab w:val="left" w:pos="397"/>
              </w:tabs>
              <w:spacing w:before="60" w:after="60" w:line="360" w:lineRule="auto"/>
              <w:jc w:val="both"/>
              <w:rPr>
                <w:rFonts w:cs="Arial"/>
                <w:i/>
                <w:color w:val="008080"/>
                <w:sz w:val="20"/>
                <w:lang w:val="it-IT"/>
              </w:rPr>
            </w:pPr>
            <w:r>
              <w:rPr>
                <w:rFonts w:cs="Arial"/>
                <w:i/>
                <w:color w:val="008080"/>
                <w:sz w:val="20"/>
                <w:lang w:val="it-IT"/>
              </w:rPr>
              <w:t>I</w:t>
            </w:r>
          </w:p>
        </w:tc>
        <w:tc>
          <w:tcPr>
            <w:tcW w:w="1528" w:type="dxa"/>
          </w:tcPr>
          <w:p>
            <w:pPr>
              <w:tabs>
                <w:tab w:val="left" w:pos="397"/>
              </w:tabs>
              <w:spacing w:before="60" w:after="60" w:line="360" w:lineRule="auto"/>
              <w:jc w:val="both"/>
              <w:rPr>
                <w:rFonts w:cs="Arial"/>
                <w:i/>
                <w:color w:val="008080"/>
                <w:sz w:val="20"/>
                <w:lang w:val="it-IT"/>
              </w:rPr>
            </w:pPr>
            <w:r>
              <w:rPr>
                <w:rFonts w:cs="Arial"/>
                <w:i/>
                <w:color w:val="008080"/>
                <w:sz w:val="20"/>
                <w:lang w:val="it-IT"/>
              </w:rPr>
              <w:t>Cantoni + ente responsabile</w:t>
            </w:r>
          </w:p>
        </w:tc>
      </w:tr>
      <w:tr>
        <w:tc>
          <w:tcPr>
            <w:tcW w:w="1793" w:type="dxa"/>
          </w:tcPr>
          <w:p>
            <w:pPr>
              <w:tabs>
                <w:tab w:val="left" w:pos="397"/>
              </w:tabs>
              <w:spacing w:before="60" w:after="60" w:line="360" w:lineRule="auto"/>
              <w:jc w:val="both"/>
              <w:rPr>
                <w:rFonts w:cs="Arial"/>
                <w:i/>
                <w:color w:val="008080"/>
                <w:sz w:val="20"/>
                <w:lang w:val="it-IT"/>
              </w:rPr>
            </w:pPr>
            <w:r>
              <w:rPr>
                <w:rFonts w:cs="Arial"/>
                <w:i/>
                <w:color w:val="008080"/>
                <w:sz w:val="20"/>
                <w:lang w:val="it-IT"/>
              </w:rPr>
              <w:t>Procedura di qualificazione con esame finale</w:t>
            </w:r>
          </w:p>
        </w:tc>
        <w:tc>
          <w:tcPr>
            <w:tcW w:w="1402" w:type="dxa"/>
          </w:tcPr>
          <w:p>
            <w:pPr>
              <w:tabs>
                <w:tab w:val="left" w:pos="397"/>
              </w:tabs>
              <w:spacing w:before="60" w:after="60" w:line="360" w:lineRule="auto"/>
              <w:jc w:val="both"/>
              <w:rPr>
                <w:rFonts w:cs="Arial"/>
                <w:i/>
                <w:color w:val="008080"/>
                <w:sz w:val="20"/>
                <w:lang w:val="it-IT"/>
              </w:rPr>
            </w:pPr>
            <w:r>
              <w:rPr>
                <w:rFonts w:cs="Arial"/>
                <w:i/>
                <w:color w:val="008080"/>
                <w:sz w:val="20"/>
                <w:lang w:val="it-IT"/>
              </w:rPr>
              <w:t>I</w:t>
            </w:r>
          </w:p>
        </w:tc>
        <w:tc>
          <w:tcPr>
            <w:tcW w:w="1403" w:type="dxa"/>
          </w:tcPr>
          <w:p>
            <w:pPr>
              <w:tabs>
                <w:tab w:val="left" w:pos="397"/>
              </w:tabs>
              <w:spacing w:before="60" w:after="60" w:line="360" w:lineRule="auto"/>
              <w:jc w:val="both"/>
              <w:rPr>
                <w:rFonts w:cs="Arial"/>
                <w:i/>
                <w:color w:val="008080"/>
                <w:sz w:val="20"/>
                <w:lang w:val="it-IT"/>
              </w:rPr>
            </w:pPr>
            <w:r>
              <w:rPr>
                <w:rFonts w:cs="Arial"/>
                <w:i/>
                <w:color w:val="008080"/>
                <w:sz w:val="20"/>
                <w:lang w:val="it-IT"/>
              </w:rPr>
              <w:t>I</w:t>
            </w:r>
          </w:p>
        </w:tc>
        <w:tc>
          <w:tcPr>
            <w:tcW w:w="1498" w:type="dxa"/>
          </w:tcPr>
          <w:p>
            <w:pPr>
              <w:tabs>
                <w:tab w:val="left" w:pos="397"/>
              </w:tabs>
              <w:spacing w:before="60" w:after="60" w:line="360" w:lineRule="auto"/>
              <w:jc w:val="both"/>
              <w:rPr>
                <w:rFonts w:cs="Arial"/>
                <w:i/>
                <w:color w:val="008080"/>
                <w:sz w:val="20"/>
                <w:lang w:val="it-IT"/>
              </w:rPr>
            </w:pPr>
            <w:r>
              <w:rPr>
                <w:rFonts w:cs="Arial"/>
                <w:i/>
                <w:color w:val="008080"/>
                <w:sz w:val="20"/>
                <w:lang w:val="it-IT"/>
              </w:rPr>
              <w:t>I</w:t>
            </w:r>
          </w:p>
        </w:tc>
        <w:tc>
          <w:tcPr>
            <w:tcW w:w="1307" w:type="dxa"/>
          </w:tcPr>
          <w:p>
            <w:pPr>
              <w:tabs>
                <w:tab w:val="left" w:pos="397"/>
              </w:tabs>
              <w:spacing w:before="60" w:after="60" w:line="360" w:lineRule="auto"/>
              <w:jc w:val="both"/>
              <w:rPr>
                <w:rFonts w:cs="Arial"/>
                <w:i/>
                <w:color w:val="008080"/>
                <w:sz w:val="20"/>
                <w:lang w:val="it-IT"/>
              </w:rPr>
            </w:pPr>
            <w:r>
              <w:rPr>
                <w:rFonts w:cs="Arial"/>
                <w:i/>
                <w:color w:val="008080"/>
                <w:sz w:val="20"/>
                <w:lang w:val="it-IT"/>
              </w:rPr>
              <w:t>P</w:t>
            </w:r>
          </w:p>
        </w:tc>
        <w:tc>
          <w:tcPr>
            <w:tcW w:w="1528" w:type="dxa"/>
          </w:tcPr>
          <w:p>
            <w:pPr>
              <w:tabs>
                <w:tab w:val="left" w:pos="397"/>
              </w:tabs>
              <w:spacing w:before="60" w:after="60" w:line="360" w:lineRule="auto"/>
              <w:jc w:val="both"/>
              <w:rPr>
                <w:rFonts w:cs="Arial"/>
                <w:i/>
                <w:color w:val="008080"/>
                <w:sz w:val="20"/>
                <w:lang w:val="it-IT"/>
              </w:rPr>
            </w:pPr>
            <w:r>
              <w:rPr>
                <w:rFonts w:cs="Arial"/>
                <w:i/>
                <w:color w:val="008080"/>
                <w:sz w:val="20"/>
                <w:lang w:val="it-IT"/>
              </w:rPr>
              <w:t xml:space="preserve">Cantoni + ente responsabile </w:t>
            </w:r>
          </w:p>
        </w:tc>
      </w:tr>
      <w:tr>
        <w:tc>
          <w:tcPr>
            <w:tcW w:w="1793" w:type="dxa"/>
          </w:tcPr>
          <w:p>
            <w:pPr>
              <w:tabs>
                <w:tab w:val="left" w:pos="397"/>
              </w:tabs>
              <w:spacing w:before="60" w:after="60" w:line="360" w:lineRule="auto"/>
              <w:jc w:val="both"/>
              <w:rPr>
                <w:rFonts w:cs="Arial"/>
                <w:i/>
                <w:color w:val="008080"/>
                <w:sz w:val="20"/>
                <w:lang w:val="it-IT"/>
              </w:rPr>
            </w:pPr>
            <w:r>
              <w:rPr>
                <w:rFonts w:cs="Arial"/>
                <w:i/>
                <w:color w:val="008080"/>
                <w:sz w:val="20"/>
                <w:lang w:val="it-IT"/>
              </w:rPr>
              <w:t>Altro …</w:t>
            </w:r>
          </w:p>
        </w:tc>
        <w:tc>
          <w:tcPr>
            <w:tcW w:w="1402" w:type="dxa"/>
          </w:tcPr>
          <w:p>
            <w:pPr>
              <w:tabs>
                <w:tab w:val="left" w:pos="397"/>
              </w:tabs>
              <w:spacing w:before="60" w:after="60" w:line="360" w:lineRule="auto"/>
              <w:jc w:val="both"/>
              <w:rPr>
                <w:rFonts w:cs="Arial"/>
                <w:i/>
                <w:color w:val="008080"/>
                <w:sz w:val="20"/>
                <w:lang w:val="it-IT"/>
              </w:rPr>
            </w:pPr>
          </w:p>
        </w:tc>
        <w:tc>
          <w:tcPr>
            <w:tcW w:w="1403" w:type="dxa"/>
          </w:tcPr>
          <w:p>
            <w:pPr>
              <w:tabs>
                <w:tab w:val="left" w:pos="397"/>
              </w:tabs>
              <w:spacing w:before="60" w:after="60" w:line="360" w:lineRule="auto"/>
              <w:jc w:val="both"/>
              <w:rPr>
                <w:rFonts w:cs="Arial"/>
                <w:i/>
                <w:color w:val="008080"/>
                <w:sz w:val="20"/>
                <w:lang w:val="it-IT"/>
              </w:rPr>
            </w:pPr>
          </w:p>
        </w:tc>
        <w:tc>
          <w:tcPr>
            <w:tcW w:w="1498" w:type="dxa"/>
          </w:tcPr>
          <w:p>
            <w:pPr>
              <w:tabs>
                <w:tab w:val="left" w:pos="397"/>
              </w:tabs>
              <w:spacing w:before="60" w:after="60" w:line="360" w:lineRule="auto"/>
              <w:jc w:val="both"/>
              <w:rPr>
                <w:rFonts w:cs="Arial"/>
                <w:i/>
                <w:color w:val="008080"/>
                <w:sz w:val="20"/>
                <w:lang w:val="it-IT"/>
              </w:rPr>
            </w:pPr>
          </w:p>
        </w:tc>
        <w:tc>
          <w:tcPr>
            <w:tcW w:w="1307" w:type="dxa"/>
          </w:tcPr>
          <w:p>
            <w:pPr>
              <w:tabs>
                <w:tab w:val="left" w:pos="397"/>
              </w:tabs>
              <w:spacing w:before="60" w:after="60" w:line="360" w:lineRule="auto"/>
              <w:jc w:val="both"/>
              <w:rPr>
                <w:rFonts w:cs="Arial"/>
                <w:i/>
                <w:color w:val="008080"/>
                <w:sz w:val="20"/>
                <w:lang w:val="it-IT"/>
              </w:rPr>
            </w:pPr>
          </w:p>
        </w:tc>
        <w:tc>
          <w:tcPr>
            <w:tcW w:w="1528" w:type="dxa"/>
          </w:tcPr>
          <w:p>
            <w:pPr>
              <w:tabs>
                <w:tab w:val="left" w:pos="397"/>
              </w:tabs>
              <w:spacing w:before="60" w:after="60" w:line="360" w:lineRule="auto"/>
              <w:jc w:val="both"/>
              <w:rPr>
                <w:rFonts w:cs="Arial"/>
                <w:i/>
                <w:color w:val="008080"/>
                <w:sz w:val="20"/>
                <w:lang w:val="it-IT"/>
              </w:rPr>
            </w:pPr>
          </w:p>
        </w:tc>
      </w:tr>
    </w:tbl>
    <w:p>
      <w:pPr>
        <w:spacing w:before="120" w:after="120" w:line="360" w:lineRule="auto"/>
        <w:jc w:val="both"/>
        <w:rPr>
          <w:sz w:val="20"/>
          <w:lang w:val="it-IT"/>
        </w:rPr>
      </w:pPr>
      <w:bookmarkStart w:id="16" w:name="_Toc498692627"/>
    </w:p>
    <w:p>
      <w:pPr>
        <w:jc w:val="both"/>
        <w:rPr>
          <w:sz w:val="20"/>
          <w:lang w:val="it-IT"/>
        </w:rPr>
      </w:pPr>
      <w:r>
        <w:rPr>
          <w:sz w:val="20"/>
          <w:lang w:val="it-IT"/>
        </w:rPr>
        <w:br w:type="page"/>
      </w:r>
    </w:p>
    <w:p>
      <w:pPr>
        <w:pStyle w:val="BFAberschriftEbene1"/>
      </w:pPr>
      <w:bookmarkStart w:id="17" w:name="_Toc46301569"/>
      <w:bookmarkEnd w:id="16"/>
      <w:r>
        <w:lastRenderedPageBreak/>
        <w:t>Misure di informazione</w:t>
      </w:r>
      <w:bookmarkEnd w:id="17"/>
    </w:p>
    <w:p>
      <w:pPr>
        <w:pStyle w:val="BFAText"/>
      </w:pPr>
      <w:r>
        <w:t>Nota: i punti di cui al capitolo 7 sono specificati qui sotto. Nella tabella sono elencate le possibili misure e gli strumenti di informazione, come manifestazioni, riviste o attività delle associazioni professionali, mailing, newsletter, siti web, ecc.</w:t>
      </w:r>
    </w:p>
    <w:p>
      <w:pPr>
        <w:jc w:val="both"/>
        <w:rPr>
          <w:b/>
          <w:i/>
          <w:color w:val="008080"/>
          <w:sz w:val="24"/>
          <w:szCs w:val="24"/>
          <w:lang w:val="it-IT"/>
        </w:rPr>
      </w:pPr>
      <w:r>
        <w:rPr>
          <w:b/>
          <w:i/>
          <w:color w:val="008080"/>
          <w:sz w:val="24"/>
          <w:szCs w:val="24"/>
          <w:lang w:val="it-IT"/>
        </w:rPr>
        <w:t>Esempi (da adeguare in base alla revisione della professione)</w:t>
      </w:r>
    </w:p>
    <w:p>
      <w:pPr>
        <w:jc w:val="both"/>
        <w:rPr>
          <w:b/>
          <w:i/>
          <w:color w:val="008080"/>
          <w:sz w:val="24"/>
          <w:szCs w:val="24"/>
          <w:lang w:val="it-IT"/>
        </w:rPr>
      </w:pP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3"/>
        <w:gridCol w:w="1614"/>
        <w:gridCol w:w="2552"/>
        <w:gridCol w:w="2835"/>
      </w:tblGrid>
      <w:tr>
        <w:trPr>
          <w:trHeight w:val="421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tabs>
                <w:tab w:val="left" w:pos="397"/>
              </w:tabs>
              <w:spacing w:before="120" w:after="120" w:line="360" w:lineRule="auto"/>
              <w:rPr>
                <w:rFonts w:cs="Arial"/>
                <w:b/>
                <w:color w:val="008080"/>
                <w:sz w:val="20"/>
                <w:lang w:val="it-IT"/>
              </w:rPr>
            </w:pPr>
            <w:r>
              <w:rPr>
                <w:rFonts w:cs="Arial"/>
                <w:b/>
                <w:color w:val="008080"/>
                <w:sz w:val="20"/>
                <w:lang w:val="it-IT"/>
              </w:rPr>
              <w:t>Quando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tabs>
                <w:tab w:val="left" w:pos="397"/>
              </w:tabs>
              <w:spacing w:before="120" w:after="120" w:line="360" w:lineRule="auto"/>
              <w:rPr>
                <w:rFonts w:cs="Arial"/>
                <w:b/>
                <w:color w:val="008080"/>
                <w:sz w:val="20"/>
                <w:lang w:val="it-IT"/>
              </w:rPr>
            </w:pPr>
            <w:r>
              <w:rPr>
                <w:rFonts w:cs="Arial"/>
                <w:b/>
                <w:color w:val="008080"/>
                <w:sz w:val="20"/>
                <w:lang w:val="it-IT"/>
              </w:rPr>
              <w:t xml:space="preserve">Destinatari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397"/>
              </w:tabs>
              <w:spacing w:before="120" w:after="120" w:line="360" w:lineRule="auto"/>
              <w:rPr>
                <w:rFonts w:cs="Arial"/>
                <w:b/>
                <w:color w:val="008080"/>
                <w:sz w:val="20"/>
                <w:lang w:val="it-IT"/>
              </w:rPr>
            </w:pPr>
            <w:r>
              <w:rPr>
                <w:rFonts w:cs="Arial"/>
                <w:b/>
                <w:color w:val="008080"/>
                <w:sz w:val="20"/>
                <w:lang w:val="it-IT"/>
              </w:rPr>
              <w:t>Misura / Contenuto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tabs>
                <w:tab w:val="left" w:pos="397"/>
              </w:tabs>
              <w:spacing w:before="120" w:after="120" w:line="360" w:lineRule="auto"/>
              <w:rPr>
                <w:rFonts w:cs="Arial"/>
                <w:b/>
                <w:color w:val="008080"/>
                <w:sz w:val="20"/>
                <w:lang w:val="it-IT"/>
              </w:rPr>
            </w:pPr>
            <w:r>
              <w:rPr>
                <w:rFonts w:cs="Arial"/>
                <w:b/>
                <w:color w:val="008080"/>
                <w:sz w:val="20"/>
                <w:lang w:val="it-IT"/>
              </w:rPr>
              <w:t xml:space="preserve">Strumento </w:t>
            </w:r>
          </w:p>
        </w:tc>
      </w:tr>
      <w:tr>
        <w:trPr>
          <w:trHeight w:val="421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tabs>
                <w:tab w:val="left" w:pos="397"/>
              </w:tabs>
              <w:spacing w:before="60" w:after="60" w:line="360" w:lineRule="auto"/>
              <w:rPr>
                <w:rFonts w:cs="Arial"/>
                <w:i/>
                <w:color w:val="008080"/>
                <w:sz w:val="20"/>
                <w:lang w:val="it-IT"/>
              </w:rPr>
            </w:pPr>
            <w:r>
              <w:rPr>
                <w:rFonts w:cs="Arial"/>
                <w:i/>
                <w:color w:val="008080"/>
                <w:sz w:val="20"/>
                <w:lang w:val="it-IT"/>
              </w:rPr>
              <w:t xml:space="preserve">Dal </w:t>
            </w:r>
            <w:proofErr w:type="spellStart"/>
            <w:r>
              <w:rPr>
                <w:rFonts w:cs="Arial"/>
                <w:i/>
                <w:color w:val="008080"/>
                <w:sz w:val="20"/>
                <w:lang w:val="it-IT"/>
              </w:rPr>
              <w:t>20xx</w:t>
            </w:r>
            <w:proofErr w:type="spellEnd"/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tabs>
                <w:tab w:val="left" w:pos="397"/>
              </w:tabs>
              <w:spacing w:before="60" w:after="60" w:line="360" w:lineRule="auto"/>
              <w:rPr>
                <w:rFonts w:cs="Arial"/>
                <w:i/>
                <w:color w:val="008080"/>
                <w:sz w:val="20"/>
                <w:lang w:val="it-IT"/>
              </w:rPr>
            </w:pPr>
            <w:r>
              <w:rPr>
                <w:rFonts w:cs="Arial"/>
                <w:i/>
                <w:color w:val="008080"/>
                <w:sz w:val="20"/>
                <w:lang w:val="it-IT"/>
              </w:rPr>
              <w:t xml:space="preserve">Tutti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397"/>
              </w:tabs>
              <w:spacing w:before="60" w:after="60" w:line="360" w:lineRule="auto"/>
              <w:rPr>
                <w:rFonts w:cs="Arial"/>
                <w:i/>
                <w:color w:val="008080"/>
                <w:sz w:val="20"/>
                <w:lang w:val="it-IT"/>
              </w:rPr>
            </w:pPr>
            <w:r>
              <w:rPr>
                <w:rFonts w:cs="Arial"/>
                <w:i/>
                <w:color w:val="008080"/>
                <w:sz w:val="20"/>
                <w:lang w:val="it-IT"/>
              </w:rPr>
              <w:t>Aggiornamenti periodici sullo stato d’avanzamento della revisione / dei documenti.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tabs>
                <w:tab w:val="left" w:pos="397"/>
              </w:tabs>
              <w:spacing w:before="60" w:after="60" w:line="360" w:lineRule="auto"/>
              <w:rPr>
                <w:rFonts w:cs="Arial"/>
                <w:i/>
                <w:color w:val="008080"/>
                <w:sz w:val="20"/>
                <w:lang w:val="it-IT"/>
              </w:rPr>
            </w:pPr>
            <w:r>
              <w:rPr>
                <w:rFonts w:cs="Arial"/>
                <w:i/>
                <w:color w:val="008080"/>
                <w:sz w:val="20"/>
                <w:lang w:val="it-IT"/>
              </w:rPr>
              <w:t xml:space="preserve">Siti web, mailing, newsletter, rivista dell’associazione professionale </w:t>
            </w:r>
            <w:proofErr w:type="spellStart"/>
            <w:r>
              <w:rPr>
                <w:rFonts w:cs="Arial"/>
                <w:i/>
                <w:color w:val="008080"/>
                <w:sz w:val="20"/>
                <w:lang w:val="it-IT"/>
              </w:rPr>
              <w:t>xy</w:t>
            </w:r>
            <w:proofErr w:type="spellEnd"/>
            <w:r>
              <w:rPr>
                <w:rFonts w:cs="Arial"/>
                <w:i/>
                <w:color w:val="008080"/>
                <w:sz w:val="20"/>
                <w:lang w:val="it-IT"/>
              </w:rPr>
              <w:t>.</w:t>
            </w:r>
          </w:p>
        </w:tc>
      </w:tr>
      <w:tr>
        <w:trPr>
          <w:trHeight w:val="421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tabs>
                <w:tab w:val="left" w:pos="397"/>
              </w:tabs>
              <w:spacing w:before="60" w:after="60" w:line="360" w:lineRule="auto"/>
              <w:rPr>
                <w:rFonts w:cs="Arial"/>
                <w:i/>
                <w:color w:val="008080"/>
                <w:sz w:val="20"/>
                <w:lang w:val="it-IT"/>
              </w:rPr>
            </w:pPr>
            <w:r>
              <w:rPr>
                <w:rFonts w:cs="Arial"/>
                <w:i/>
                <w:color w:val="008080"/>
                <w:sz w:val="20"/>
                <w:lang w:val="it-IT"/>
              </w:rPr>
              <w:t xml:space="preserve">Dall’estate </w:t>
            </w:r>
            <w:proofErr w:type="spellStart"/>
            <w:r>
              <w:rPr>
                <w:rFonts w:cs="Arial"/>
                <w:i/>
                <w:color w:val="008080"/>
                <w:sz w:val="20"/>
                <w:lang w:val="it-IT"/>
              </w:rPr>
              <w:t>20xx</w:t>
            </w:r>
            <w:proofErr w:type="spellEnd"/>
            <w:r>
              <w:rPr>
                <w:rFonts w:cs="Arial"/>
                <w:i/>
                <w:color w:val="008080"/>
                <w:sz w:val="20"/>
                <w:lang w:val="it-IT"/>
              </w:rPr>
              <w:t xml:space="preserve"> 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tabs>
                <w:tab w:val="left" w:pos="397"/>
              </w:tabs>
              <w:spacing w:before="60" w:after="60" w:line="360" w:lineRule="auto"/>
              <w:rPr>
                <w:rFonts w:cs="Arial"/>
                <w:i/>
                <w:color w:val="008080"/>
                <w:sz w:val="20"/>
                <w:lang w:val="it-IT"/>
              </w:rPr>
            </w:pPr>
            <w:r>
              <w:rPr>
                <w:rFonts w:cs="Arial"/>
                <w:i/>
                <w:color w:val="008080"/>
                <w:sz w:val="20"/>
                <w:lang w:val="it-IT"/>
              </w:rPr>
              <w:t>Formatori attivi nelle aziende di tirocinio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397"/>
              </w:tabs>
              <w:spacing w:before="60" w:after="60" w:line="360" w:lineRule="auto"/>
              <w:rPr>
                <w:rFonts w:cs="Arial"/>
                <w:i/>
                <w:color w:val="008080"/>
                <w:sz w:val="20"/>
                <w:lang w:val="it-IT"/>
              </w:rPr>
            </w:pPr>
            <w:r>
              <w:rPr>
                <w:rFonts w:cs="Arial"/>
                <w:i/>
                <w:color w:val="008080"/>
                <w:sz w:val="20"/>
                <w:lang w:val="it-IT"/>
              </w:rPr>
              <w:t>Informazioni sulla nuova offerta formativa; presentazione dei documenti di attuazione; scambio di idee.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tabs>
                <w:tab w:val="left" w:pos="397"/>
              </w:tabs>
              <w:spacing w:before="60" w:after="60" w:line="360" w:lineRule="auto"/>
              <w:rPr>
                <w:rFonts w:cs="Arial"/>
                <w:i/>
                <w:color w:val="008080"/>
                <w:sz w:val="20"/>
                <w:lang w:val="it-IT"/>
              </w:rPr>
            </w:pPr>
            <w:r>
              <w:rPr>
                <w:rFonts w:cs="Arial"/>
                <w:i/>
                <w:color w:val="008080"/>
                <w:sz w:val="20"/>
                <w:lang w:val="it-IT"/>
              </w:rPr>
              <w:t>Evento/i informativo/i dell’</w:t>
            </w:r>
            <w:proofErr w:type="spellStart"/>
            <w:r>
              <w:rPr>
                <w:rFonts w:cs="Arial"/>
                <w:i/>
                <w:color w:val="008080"/>
                <w:sz w:val="20"/>
                <w:lang w:val="it-IT"/>
              </w:rPr>
              <w:t>oml</w:t>
            </w:r>
            <w:proofErr w:type="spellEnd"/>
            <w:r>
              <w:rPr>
                <w:rFonts w:cs="Arial"/>
                <w:i/>
                <w:color w:val="008080"/>
                <w:sz w:val="20"/>
                <w:lang w:val="it-IT"/>
              </w:rPr>
              <w:t xml:space="preserve"> in collaborazione con i Cantoni e con la </w:t>
            </w:r>
            <w:proofErr w:type="spellStart"/>
            <w:r>
              <w:rPr>
                <w:rFonts w:cs="Arial"/>
                <w:i/>
                <w:color w:val="008080"/>
                <w:sz w:val="20"/>
                <w:lang w:val="it-IT"/>
              </w:rPr>
              <w:t>SUFFP</w:t>
            </w:r>
            <w:proofErr w:type="spellEnd"/>
            <w:r>
              <w:rPr>
                <w:rFonts w:cs="Arial"/>
                <w:i/>
                <w:color w:val="008080"/>
                <w:sz w:val="20"/>
                <w:lang w:val="it-IT"/>
              </w:rPr>
              <w:t>.</w:t>
            </w:r>
          </w:p>
        </w:tc>
      </w:tr>
      <w:tr>
        <w:trPr>
          <w:trHeight w:val="421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tabs>
                <w:tab w:val="left" w:pos="397"/>
              </w:tabs>
              <w:spacing w:before="60" w:after="60" w:line="360" w:lineRule="auto"/>
              <w:rPr>
                <w:rFonts w:cs="Arial"/>
                <w:i/>
                <w:color w:val="008080"/>
                <w:sz w:val="20"/>
                <w:lang w:val="it-IT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tabs>
                <w:tab w:val="left" w:pos="397"/>
              </w:tabs>
              <w:spacing w:before="60" w:after="60" w:line="360" w:lineRule="auto"/>
              <w:rPr>
                <w:rFonts w:cs="Arial"/>
                <w:i/>
                <w:color w:val="008080"/>
                <w:sz w:val="20"/>
                <w:lang w:val="it-IT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397"/>
              </w:tabs>
              <w:spacing w:before="60" w:after="60" w:line="360" w:lineRule="auto"/>
              <w:rPr>
                <w:rFonts w:cs="Arial"/>
                <w:i/>
                <w:color w:val="008080"/>
                <w:sz w:val="20"/>
                <w:lang w:val="it-I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tabs>
                <w:tab w:val="left" w:pos="397"/>
              </w:tabs>
              <w:spacing w:before="60" w:after="60" w:line="360" w:lineRule="auto"/>
              <w:rPr>
                <w:rFonts w:cs="Arial"/>
                <w:i/>
                <w:color w:val="008080"/>
                <w:sz w:val="20"/>
                <w:lang w:val="it-IT"/>
              </w:rPr>
            </w:pPr>
          </w:p>
        </w:tc>
      </w:tr>
      <w:tr>
        <w:trPr>
          <w:trHeight w:val="421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tabs>
                <w:tab w:val="left" w:pos="397"/>
              </w:tabs>
              <w:spacing w:before="60" w:after="60" w:line="360" w:lineRule="auto"/>
              <w:rPr>
                <w:rFonts w:cs="Arial"/>
                <w:i/>
                <w:color w:val="008080"/>
                <w:sz w:val="20"/>
                <w:lang w:val="it-IT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tabs>
                <w:tab w:val="left" w:pos="397"/>
              </w:tabs>
              <w:spacing w:before="60" w:after="60" w:line="360" w:lineRule="auto"/>
              <w:rPr>
                <w:rFonts w:cs="Arial"/>
                <w:i/>
                <w:color w:val="008080"/>
                <w:sz w:val="20"/>
                <w:lang w:val="it-IT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397"/>
              </w:tabs>
              <w:spacing w:before="60" w:after="60" w:line="360" w:lineRule="auto"/>
              <w:rPr>
                <w:rFonts w:cs="Arial"/>
                <w:i/>
                <w:color w:val="008080"/>
                <w:sz w:val="20"/>
                <w:lang w:val="it-I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tabs>
                <w:tab w:val="left" w:pos="397"/>
              </w:tabs>
              <w:spacing w:before="60" w:after="60" w:line="360" w:lineRule="auto"/>
              <w:rPr>
                <w:rFonts w:cs="Arial"/>
                <w:i/>
                <w:color w:val="008080"/>
                <w:sz w:val="20"/>
                <w:lang w:val="it-IT"/>
              </w:rPr>
            </w:pPr>
          </w:p>
        </w:tc>
      </w:tr>
      <w:tr>
        <w:trPr>
          <w:trHeight w:val="421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tabs>
                <w:tab w:val="left" w:pos="397"/>
              </w:tabs>
              <w:spacing w:before="60" w:after="60" w:line="360" w:lineRule="auto"/>
              <w:rPr>
                <w:rFonts w:cs="Arial"/>
                <w:i/>
                <w:color w:val="008080"/>
                <w:sz w:val="20"/>
                <w:lang w:val="it-IT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tabs>
                <w:tab w:val="left" w:pos="397"/>
              </w:tabs>
              <w:spacing w:before="60" w:after="60" w:line="360" w:lineRule="auto"/>
              <w:rPr>
                <w:rFonts w:cs="Arial"/>
                <w:i/>
                <w:color w:val="008080"/>
                <w:sz w:val="20"/>
                <w:lang w:val="it-IT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397"/>
              </w:tabs>
              <w:spacing w:before="60" w:after="60" w:line="360" w:lineRule="auto"/>
              <w:rPr>
                <w:rFonts w:cs="Arial"/>
                <w:i/>
                <w:color w:val="008080"/>
                <w:sz w:val="20"/>
                <w:lang w:val="it-I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tabs>
                <w:tab w:val="left" w:pos="397"/>
              </w:tabs>
              <w:spacing w:before="60" w:after="60" w:line="360" w:lineRule="auto"/>
              <w:rPr>
                <w:rFonts w:cs="Arial"/>
                <w:i/>
                <w:color w:val="008080"/>
                <w:sz w:val="20"/>
                <w:lang w:val="it-IT"/>
              </w:rPr>
            </w:pPr>
          </w:p>
        </w:tc>
      </w:tr>
    </w:tbl>
    <w:p>
      <w:pPr>
        <w:pStyle w:val="BFAText"/>
      </w:pPr>
    </w:p>
    <w:p>
      <w:pPr>
        <w:jc w:val="both"/>
        <w:rPr>
          <w:lang w:val="it-IT"/>
        </w:rPr>
        <w:sectPr>
          <w:headerReference w:type="default" r:id="rId12"/>
          <w:footerReference w:type="even" r:id="rId13"/>
          <w:footerReference w:type="default" r:id="rId14"/>
          <w:pgSz w:w="11906" w:h="16838" w:code="9"/>
          <w:pgMar w:top="1252" w:right="1588" w:bottom="851" w:left="1588" w:header="567" w:footer="346" w:gutter="0"/>
          <w:cols w:space="708"/>
          <w:titlePg/>
          <w:docGrid w:linePitch="360"/>
        </w:sectPr>
      </w:pPr>
    </w:p>
    <w:p>
      <w:pPr>
        <w:pStyle w:val="BFAberschriftEbene1"/>
      </w:pPr>
      <w:bookmarkStart w:id="18" w:name="_Toc20322704"/>
      <w:bookmarkStart w:id="19" w:name="_Toc46301570"/>
      <w:r>
        <w:lastRenderedPageBreak/>
        <w:t>Elaborazione dei documenti di attuazione e delle relative misure di informazione e preparazione</w:t>
      </w:r>
      <w:bookmarkEnd w:id="18"/>
      <w:bookmarkEnd w:id="19"/>
    </w:p>
    <w:p>
      <w:pPr>
        <w:pStyle w:val="BFAText"/>
      </w:pPr>
      <w:r>
        <w:t xml:space="preserve">Nota: la tabella qui sotto va compilata in base all’elenco, allegato al piano di formazione, degli «strumenti volti a garantire e attuare la formazione professionale di base nonché a promuovere la qualità». I documenti citati vanno utilizzati a titolo di riferimento. Occorrerà poi decidere quali misure adottare per passare alla fase di realizzazione. </w:t>
      </w:r>
      <w:r>
        <w:rPr>
          <w:b/>
          <w:color w:val="008080"/>
          <w:sz w:val="24"/>
          <w:szCs w:val="24"/>
          <w:lang w:eastAsia="fr-FR"/>
        </w:rPr>
        <w:t xml:space="preserve">In allegato è riportato un esempio. </w:t>
      </w:r>
    </w:p>
    <w:tbl>
      <w:tblPr>
        <w:tblStyle w:val="Gitternetztabelle1hellAkzent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89"/>
        <w:gridCol w:w="2126"/>
        <w:gridCol w:w="1605"/>
        <w:gridCol w:w="1513"/>
        <w:gridCol w:w="3165"/>
        <w:gridCol w:w="3260"/>
      </w:tblGrid>
      <w:tr>
        <w:tc>
          <w:tcPr>
            <w:tcW w:w="2689" w:type="dxa"/>
            <w:shd w:val="clear" w:color="auto" w:fill="B6DDE8" w:themeFill="accent5" w:themeFillTint="66"/>
          </w:tcPr>
          <w:p>
            <w:pPr>
              <w:tabs>
                <w:tab w:val="left" w:pos="397"/>
              </w:tabs>
              <w:spacing w:before="120" w:after="120" w:line="276" w:lineRule="auto"/>
              <w:rPr>
                <w:rFonts w:cs="Arial"/>
                <w:b/>
                <w:color w:val="008080"/>
                <w:sz w:val="20"/>
                <w:lang w:val="it-IT"/>
              </w:rPr>
            </w:pPr>
            <w:r>
              <w:rPr>
                <w:rFonts w:cs="Arial"/>
                <w:b/>
                <w:color w:val="008080"/>
                <w:sz w:val="20"/>
                <w:lang w:val="it-IT"/>
              </w:rPr>
              <w:t xml:space="preserve">Documento da elaborare </w:t>
            </w:r>
          </w:p>
        </w:tc>
        <w:tc>
          <w:tcPr>
            <w:tcW w:w="2126" w:type="dxa"/>
            <w:shd w:val="clear" w:color="auto" w:fill="B6DDE8" w:themeFill="accent5" w:themeFillTint="66"/>
          </w:tcPr>
          <w:p>
            <w:pPr>
              <w:tabs>
                <w:tab w:val="left" w:pos="397"/>
              </w:tabs>
              <w:spacing w:before="120" w:after="120" w:line="276" w:lineRule="auto"/>
              <w:rPr>
                <w:rFonts w:cs="Arial"/>
                <w:b/>
                <w:color w:val="008080"/>
                <w:sz w:val="20"/>
                <w:lang w:val="it-IT"/>
              </w:rPr>
            </w:pPr>
            <w:r>
              <w:rPr>
                <w:rFonts w:cs="Arial"/>
                <w:b/>
                <w:color w:val="008080"/>
                <w:sz w:val="20"/>
                <w:lang w:val="it-IT"/>
              </w:rPr>
              <w:t>Carico di lavoro / Obiettivo</w:t>
            </w:r>
          </w:p>
        </w:tc>
        <w:tc>
          <w:tcPr>
            <w:tcW w:w="1605" w:type="dxa"/>
            <w:shd w:val="clear" w:color="auto" w:fill="B6DDE8" w:themeFill="accent5" w:themeFillTint="66"/>
          </w:tcPr>
          <w:p>
            <w:pPr>
              <w:tabs>
                <w:tab w:val="left" w:pos="397"/>
              </w:tabs>
              <w:spacing w:before="120" w:after="120" w:line="276" w:lineRule="auto"/>
              <w:rPr>
                <w:rFonts w:cs="Arial"/>
                <w:b/>
                <w:color w:val="008080"/>
                <w:sz w:val="20"/>
                <w:lang w:val="it-IT"/>
              </w:rPr>
            </w:pPr>
            <w:r>
              <w:rPr>
                <w:rFonts w:cs="Arial"/>
                <w:b/>
                <w:color w:val="008080"/>
                <w:sz w:val="20"/>
                <w:lang w:val="it-IT"/>
              </w:rPr>
              <w:t>Elaborato da</w:t>
            </w:r>
          </w:p>
        </w:tc>
        <w:tc>
          <w:tcPr>
            <w:tcW w:w="1513" w:type="dxa"/>
            <w:shd w:val="clear" w:color="auto" w:fill="B6DDE8" w:themeFill="accent5" w:themeFillTint="66"/>
          </w:tcPr>
          <w:p>
            <w:pPr>
              <w:tabs>
                <w:tab w:val="left" w:pos="397"/>
              </w:tabs>
              <w:spacing w:before="120" w:after="120" w:line="276" w:lineRule="auto"/>
              <w:rPr>
                <w:rFonts w:cs="Arial"/>
                <w:b/>
                <w:color w:val="008080"/>
                <w:sz w:val="20"/>
                <w:lang w:val="it-IT"/>
              </w:rPr>
            </w:pPr>
            <w:r>
              <w:rPr>
                <w:rFonts w:cs="Arial"/>
                <w:b/>
                <w:color w:val="008080"/>
                <w:sz w:val="20"/>
                <w:lang w:val="it-IT"/>
              </w:rPr>
              <w:t>Da elaborare entro il</w:t>
            </w:r>
          </w:p>
        </w:tc>
        <w:tc>
          <w:tcPr>
            <w:tcW w:w="3165" w:type="dxa"/>
            <w:shd w:val="clear" w:color="auto" w:fill="B6DDE8" w:themeFill="accent5" w:themeFillTint="66"/>
          </w:tcPr>
          <w:p>
            <w:pPr>
              <w:tabs>
                <w:tab w:val="left" w:pos="397"/>
              </w:tabs>
              <w:spacing w:before="120" w:after="120" w:line="276" w:lineRule="auto"/>
              <w:rPr>
                <w:rFonts w:cs="Arial"/>
                <w:b/>
                <w:color w:val="008080"/>
                <w:sz w:val="20"/>
                <w:lang w:val="it-IT"/>
              </w:rPr>
            </w:pPr>
            <w:r>
              <w:rPr>
                <w:rFonts w:cs="Arial"/>
                <w:b/>
                <w:color w:val="008080"/>
                <w:sz w:val="20"/>
                <w:lang w:val="it-IT"/>
              </w:rPr>
              <w:t>Misure di informazione / Destinatari / Contenuto / Periodo</w:t>
            </w:r>
          </w:p>
        </w:tc>
        <w:tc>
          <w:tcPr>
            <w:tcW w:w="3260" w:type="dxa"/>
            <w:shd w:val="clear" w:color="auto" w:fill="B6DDE8" w:themeFill="accent5" w:themeFillTint="66"/>
          </w:tcPr>
          <w:p>
            <w:pPr>
              <w:tabs>
                <w:tab w:val="left" w:pos="397"/>
              </w:tabs>
              <w:spacing w:before="120" w:after="120" w:line="276" w:lineRule="auto"/>
              <w:rPr>
                <w:rFonts w:cs="Arial"/>
                <w:b/>
                <w:color w:val="008080"/>
                <w:sz w:val="20"/>
                <w:lang w:val="it-IT"/>
              </w:rPr>
            </w:pPr>
            <w:r>
              <w:rPr>
                <w:rFonts w:cs="Arial"/>
                <w:b/>
                <w:color w:val="008080"/>
                <w:sz w:val="20"/>
                <w:lang w:val="it-IT"/>
              </w:rPr>
              <w:t>Misure di preparazione / Destinatari / Contenuto / Periodo</w:t>
            </w:r>
          </w:p>
        </w:tc>
      </w:tr>
      <w:tr>
        <w:tc>
          <w:tcPr>
            <w:tcW w:w="2689" w:type="dxa"/>
          </w:tcPr>
          <w:p>
            <w:pPr>
              <w:tabs>
                <w:tab w:val="left" w:pos="397"/>
              </w:tabs>
              <w:spacing w:before="60" w:after="60" w:line="360" w:lineRule="auto"/>
              <w:rPr>
                <w:rFonts w:cs="Arial"/>
                <w:i/>
                <w:color w:val="008080"/>
                <w:sz w:val="20"/>
                <w:lang w:val="it-IT"/>
              </w:rPr>
            </w:pPr>
            <w:r>
              <w:rPr>
                <w:rFonts w:cs="Arial"/>
                <w:i/>
                <w:color w:val="008080"/>
                <w:sz w:val="20"/>
                <w:lang w:val="it-IT"/>
              </w:rPr>
              <w:t>Documentazione dell’apprendimento</w:t>
            </w:r>
          </w:p>
        </w:tc>
        <w:tc>
          <w:tcPr>
            <w:tcW w:w="2126" w:type="dxa"/>
          </w:tcPr>
          <w:p>
            <w:pPr>
              <w:tabs>
                <w:tab w:val="left" w:pos="397"/>
              </w:tabs>
              <w:spacing w:before="60" w:after="60" w:line="360" w:lineRule="auto"/>
              <w:jc w:val="both"/>
              <w:rPr>
                <w:rFonts w:cs="Arial"/>
                <w:i/>
                <w:color w:val="008080"/>
                <w:sz w:val="20"/>
                <w:lang w:val="it-IT"/>
              </w:rPr>
            </w:pPr>
          </w:p>
        </w:tc>
        <w:tc>
          <w:tcPr>
            <w:tcW w:w="1605" w:type="dxa"/>
          </w:tcPr>
          <w:p>
            <w:pPr>
              <w:tabs>
                <w:tab w:val="left" w:pos="397"/>
              </w:tabs>
              <w:spacing w:before="60" w:after="60" w:line="360" w:lineRule="auto"/>
              <w:jc w:val="both"/>
              <w:rPr>
                <w:rFonts w:cs="Arial"/>
                <w:i/>
                <w:color w:val="008080"/>
                <w:sz w:val="20"/>
                <w:lang w:val="it-IT"/>
              </w:rPr>
            </w:pPr>
          </w:p>
        </w:tc>
        <w:tc>
          <w:tcPr>
            <w:tcW w:w="1513" w:type="dxa"/>
          </w:tcPr>
          <w:p>
            <w:pPr>
              <w:tabs>
                <w:tab w:val="left" w:pos="397"/>
              </w:tabs>
              <w:spacing w:before="60" w:after="60" w:line="360" w:lineRule="auto"/>
              <w:jc w:val="both"/>
              <w:rPr>
                <w:rFonts w:cs="Arial"/>
                <w:i/>
                <w:color w:val="008080"/>
                <w:sz w:val="20"/>
                <w:lang w:val="it-IT"/>
              </w:rPr>
            </w:pPr>
          </w:p>
        </w:tc>
        <w:tc>
          <w:tcPr>
            <w:tcW w:w="3165" w:type="dxa"/>
            <w:vAlign w:val="center"/>
          </w:tcPr>
          <w:p>
            <w:pPr>
              <w:tabs>
                <w:tab w:val="left" w:pos="397"/>
              </w:tabs>
              <w:spacing w:before="60" w:after="60" w:line="360" w:lineRule="auto"/>
              <w:jc w:val="both"/>
              <w:rPr>
                <w:rFonts w:cs="Arial"/>
                <w:i/>
                <w:color w:val="008080"/>
                <w:sz w:val="20"/>
                <w:lang w:val="it-IT"/>
              </w:rPr>
            </w:pPr>
          </w:p>
        </w:tc>
        <w:tc>
          <w:tcPr>
            <w:tcW w:w="3260" w:type="dxa"/>
            <w:vAlign w:val="center"/>
          </w:tcPr>
          <w:p>
            <w:pPr>
              <w:tabs>
                <w:tab w:val="left" w:pos="397"/>
              </w:tabs>
              <w:spacing w:before="60" w:after="60" w:line="360" w:lineRule="auto"/>
              <w:jc w:val="both"/>
              <w:rPr>
                <w:rFonts w:cs="Arial"/>
                <w:i/>
                <w:color w:val="008080"/>
                <w:sz w:val="20"/>
                <w:lang w:val="it-IT"/>
              </w:rPr>
            </w:pPr>
          </w:p>
        </w:tc>
      </w:tr>
      <w:tr>
        <w:tc>
          <w:tcPr>
            <w:tcW w:w="2689" w:type="dxa"/>
          </w:tcPr>
          <w:p>
            <w:pPr>
              <w:tabs>
                <w:tab w:val="left" w:pos="397"/>
              </w:tabs>
              <w:spacing w:before="60" w:after="60" w:line="360" w:lineRule="auto"/>
              <w:rPr>
                <w:rFonts w:cs="Arial"/>
                <w:i/>
                <w:color w:val="008080"/>
                <w:sz w:val="20"/>
                <w:lang w:val="it-IT"/>
              </w:rPr>
            </w:pPr>
            <w:r>
              <w:rPr>
                <w:rFonts w:cs="Arial"/>
                <w:i/>
                <w:color w:val="008080"/>
                <w:sz w:val="20"/>
                <w:lang w:val="it-IT"/>
              </w:rPr>
              <w:t>Programma di formazione per le aziende di tirocinio</w:t>
            </w:r>
          </w:p>
        </w:tc>
        <w:tc>
          <w:tcPr>
            <w:tcW w:w="2126" w:type="dxa"/>
          </w:tcPr>
          <w:p>
            <w:pPr>
              <w:tabs>
                <w:tab w:val="left" w:pos="397"/>
              </w:tabs>
              <w:spacing w:before="60" w:after="60" w:line="360" w:lineRule="auto"/>
              <w:jc w:val="both"/>
              <w:rPr>
                <w:rFonts w:cs="Arial"/>
                <w:i/>
                <w:color w:val="008080"/>
                <w:sz w:val="20"/>
                <w:lang w:val="it-IT"/>
              </w:rPr>
            </w:pPr>
          </w:p>
        </w:tc>
        <w:tc>
          <w:tcPr>
            <w:tcW w:w="1605" w:type="dxa"/>
          </w:tcPr>
          <w:p>
            <w:pPr>
              <w:tabs>
                <w:tab w:val="left" w:pos="397"/>
              </w:tabs>
              <w:spacing w:before="60" w:after="60" w:line="360" w:lineRule="auto"/>
              <w:jc w:val="both"/>
              <w:rPr>
                <w:rFonts w:cs="Arial"/>
                <w:i/>
                <w:color w:val="008080"/>
                <w:sz w:val="20"/>
                <w:lang w:val="it-IT"/>
              </w:rPr>
            </w:pPr>
          </w:p>
        </w:tc>
        <w:tc>
          <w:tcPr>
            <w:tcW w:w="1513" w:type="dxa"/>
          </w:tcPr>
          <w:p>
            <w:pPr>
              <w:tabs>
                <w:tab w:val="left" w:pos="397"/>
              </w:tabs>
              <w:spacing w:before="60" w:after="60" w:line="360" w:lineRule="auto"/>
              <w:jc w:val="both"/>
              <w:rPr>
                <w:rFonts w:cs="Arial"/>
                <w:i/>
                <w:color w:val="008080"/>
                <w:sz w:val="20"/>
                <w:lang w:val="it-IT"/>
              </w:rPr>
            </w:pPr>
          </w:p>
        </w:tc>
        <w:tc>
          <w:tcPr>
            <w:tcW w:w="3165" w:type="dxa"/>
            <w:vAlign w:val="center"/>
          </w:tcPr>
          <w:p>
            <w:pPr>
              <w:tabs>
                <w:tab w:val="left" w:pos="397"/>
              </w:tabs>
              <w:spacing w:before="60" w:after="60" w:line="360" w:lineRule="auto"/>
              <w:jc w:val="both"/>
              <w:rPr>
                <w:rFonts w:cs="Arial"/>
                <w:i/>
                <w:color w:val="008080"/>
                <w:sz w:val="20"/>
                <w:lang w:val="it-IT"/>
              </w:rPr>
            </w:pPr>
          </w:p>
        </w:tc>
        <w:tc>
          <w:tcPr>
            <w:tcW w:w="3260" w:type="dxa"/>
            <w:vAlign w:val="center"/>
          </w:tcPr>
          <w:p>
            <w:pPr>
              <w:tabs>
                <w:tab w:val="left" w:pos="397"/>
              </w:tabs>
              <w:spacing w:before="60" w:after="60" w:line="360" w:lineRule="auto"/>
              <w:jc w:val="both"/>
              <w:rPr>
                <w:rFonts w:cs="Arial"/>
                <w:i/>
                <w:color w:val="008080"/>
                <w:sz w:val="20"/>
                <w:lang w:val="it-IT"/>
              </w:rPr>
            </w:pPr>
          </w:p>
        </w:tc>
      </w:tr>
      <w:tr>
        <w:tc>
          <w:tcPr>
            <w:tcW w:w="2689" w:type="dxa"/>
          </w:tcPr>
          <w:p>
            <w:pPr>
              <w:tabs>
                <w:tab w:val="left" w:pos="397"/>
              </w:tabs>
              <w:spacing w:before="60" w:after="60" w:line="360" w:lineRule="auto"/>
              <w:rPr>
                <w:rFonts w:cs="Arial"/>
                <w:i/>
                <w:color w:val="008080"/>
                <w:sz w:val="20"/>
                <w:lang w:val="it-IT"/>
              </w:rPr>
            </w:pPr>
            <w:r>
              <w:rPr>
                <w:rFonts w:cs="Arial"/>
                <w:i/>
                <w:color w:val="008080"/>
                <w:sz w:val="20"/>
                <w:lang w:val="it-IT"/>
              </w:rPr>
              <w:t>Programma di formazione per i corsi interaziendali</w:t>
            </w:r>
          </w:p>
        </w:tc>
        <w:tc>
          <w:tcPr>
            <w:tcW w:w="2126" w:type="dxa"/>
          </w:tcPr>
          <w:p>
            <w:pPr>
              <w:tabs>
                <w:tab w:val="left" w:pos="397"/>
              </w:tabs>
              <w:spacing w:before="60" w:after="60" w:line="360" w:lineRule="auto"/>
              <w:jc w:val="both"/>
              <w:rPr>
                <w:rFonts w:cs="Arial"/>
                <w:i/>
                <w:color w:val="008080"/>
                <w:sz w:val="20"/>
                <w:lang w:val="it-IT"/>
              </w:rPr>
            </w:pPr>
          </w:p>
        </w:tc>
        <w:tc>
          <w:tcPr>
            <w:tcW w:w="1605" w:type="dxa"/>
          </w:tcPr>
          <w:p>
            <w:pPr>
              <w:tabs>
                <w:tab w:val="left" w:pos="397"/>
              </w:tabs>
              <w:spacing w:before="60" w:after="60" w:line="360" w:lineRule="auto"/>
              <w:jc w:val="both"/>
              <w:rPr>
                <w:rFonts w:cs="Arial"/>
                <w:i/>
                <w:color w:val="008080"/>
                <w:sz w:val="20"/>
                <w:lang w:val="it-IT"/>
              </w:rPr>
            </w:pPr>
          </w:p>
        </w:tc>
        <w:tc>
          <w:tcPr>
            <w:tcW w:w="1513" w:type="dxa"/>
          </w:tcPr>
          <w:p>
            <w:pPr>
              <w:tabs>
                <w:tab w:val="left" w:pos="397"/>
              </w:tabs>
              <w:spacing w:before="60" w:after="60" w:line="360" w:lineRule="auto"/>
              <w:jc w:val="both"/>
              <w:rPr>
                <w:rFonts w:cs="Arial"/>
                <w:i/>
                <w:color w:val="008080"/>
                <w:sz w:val="20"/>
                <w:lang w:val="it-IT"/>
              </w:rPr>
            </w:pPr>
          </w:p>
        </w:tc>
        <w:tc>
          <w:tcPr>
            <w:tcW w:w="3165" w:type="dxa"/>
            <w:vAlign w:val="center"/>
          </w:tcPr>
          <w:p>
            <w:pPr>
              <w:tabs>
                <w:tab w:val="left" w:pos="397"/>
              </w:tabs>
              <w:spacing w:before="60" w:after="60" w:line="360" w:lineRule="auto"/>
              <w:jc w:val="both"/>
              <w:rPr>
                <w:rFonts w:cs="Arial"/>
                <w:i/>
                <w:color w:val="008080"/>
                <w:sz w:val="20"/>
                <w:lang w:val="it-IT"/>
              </w:rPr>
            </w:pPr>
          </w:p>
        </w:tc>
        <w:tc>
          <w:tcPr>
            <w:tcW w:w="3260" w:type="dxa"/>
            <w:vAlign w:val="center"/>
          </w:tcPr>
          <w:p>
            <w:pPr>
              <w:tabs>
                <w:tab w:val="left" w:pos="397"/>
              </w:tabs>
              <w:spacing w:before="60" w:after="60" w:line="360" w:lineRule="auto"/>
              <w:jc w:val="both"/>
              <w:rPr>
                <w:rFonts w:cs="Arial"/>
                <w:i/>
                <w:color w:val="008080"/>
                <w:sz w:val="20"/>
                <w:lang w:val="it-IT"/>
              </w:rPr>
            </w:pPr>
          </w:p>
        </w:tc>
      </w:tr>
      <w:tr>
        <w:tc>
          <w:tcPr>
            <w:tcW w:w="2689" w:type="dxa"/>
          </w:tcPr>
          <w:p>
            <w:pPr>
              <w:tabs>
                <w:tab w:val="left" w:pos="397"/>
              </w:tabs>
              <w:spacing w:before="60" w:after="60" w:line="360" w:lineRule="auto"/>
              <w:rPr>
                <w:rFonts w:cs="Arial"/>
                <w:i/>
                <w:color w:val="008080"/>
                <w:sz w:val="20"/>
                <w:lang w:val="it-IT"/>
              </w:rPr>
            </w:pPr>
            <w:r>
              <w:rPr>
                <w:rFonts w:cs="Arial"/>
                <w:i/>
                <w:color w:val="008080"/>
                <w:sz w:val="20"/>
                <w:lang w:val="it-IT"/>
              </w:rPr>
              <w:t>Programma d’insegnamento per le scuole professionali</w:t>
            </w:r>
          </w:p>
        </w:tc>
        <w:tc>
          <w:tcPr>
            <w:tcW w:w="2126" w:type="dxa"/>
          </w:tcPr>
          <w:p>
            <w:pPr>
              <w:tabs>
                <w:tab w:val="left" w:pos="397"/>
              </w:tabs>
              <w:spacing w:before="60" w:after="60" w:line="360" w:lineRule="auto"/>
              <w:jc w:val="both"/>
              <w:rPr>
                <w:rFonts w:cs="Arial"/>
                <w:i/>
                <w:color w:val="008080"/>
                <w:sz w:val="20"/>
                <w:lang w:val="it-IT"/>
              </w:rPr>
            </w:pPr>
          </w:p>
        </w:tc>
        <w:tc>
          <w:tcPr>
            <w:tcW w:w="1605" w:type="dxa"/>
          </w:tcPr>
          <w:p>
            <w:pPr>
              <w:tabs>
                <w:tab w:val="left" w:pos="397"/>
              </w:tabs>
              <w:spacing w:before="60" w:after="60" w:line="360" w:lineRule="auto"/>
              <w:jc w:val="both"/>
              <w:rPr>
                <w:rFonts w:cs="Arial"/>
                <w:i/>
                <w:color w:val="008080"/>
                <w:sz w:val="20"/>
                <w:lang w:val="it-IT"/>
              </w:rPr>
            </w:pPr>
          </w:p>
        </w:tc>
        <w:tc>
          <w:tcPr>
            <w:tcW w:w="1513" w:type="dxa"/>
          </w:tcPr>
          <w:p>
            <w:pPr>
              <w:tabs>
                <w:tab w:val="left" w:pos="397"/>
              </w:tabs>
              <w:spacing w:before="60" w:after="60" w:line="360" w:lineRule="auto"/>
              <w:jc w:val="both"/>
              <w:rPr>
                <w:rFonts w:cs="Arial"/>
                <w:i/>
                <w:color w:val="008080"/>
                <w:sz w:val="20"/>
                <w:lang w:val="it-IT"/>
              </w:rPr>
            </w:pPr>
          </w:p>
        </w:tc>
        <w:tc>
          <w:tcPr>
            <w:tcW w:w="3165" w:type="dxa"/>
            <w:vAlign w:val="center"/>
          </w:tcPr>
          <w:p>
            <w:pPr>
              <w:tabs>
                <w:tab w:val="left" w:pos="397"/>
              </w:tabs>
              <w:spacing w:before="60" w:after="60" w:line="360" w:lineRule="auto"/>
              <w:jc w:val="both"/>
              <w:rPr>
                <w:rFonts w:cs="Arial"/>
                <w:i/>
                <w:color w:val="008080"/>
                <w:sz w:val="20"/>
                <w:lang w:val="it-IT"/>
              </w:rPr>
            </w:pPr>
          </w:p>
        </w:tc>
        <w:tc>
          <w:tcPr>
            <w:tcW w:w="3260" w:type="dxa"/>
            <w:vAlign w:val="center"/>
          </w:tcPr>
          <w:p>
            <w:pPr>
              <w:tabs>
                <w:tab w:val="left" w:pos="397"/>
              </w:tabs>
              <w:spacing w:before="60" w:after="60" w:line="360" w:lineRule="auto"/>
              <w:jc w:val="both"/>
              <w:rPr>
                <w:rFonts w:cs="Arial"/>
                <w:i/>
                <w:color w:val="008080"/>
                <w:sz w:val="20"/>
                <w:lang w:val="it-IT"/>
              </w:rPr>
            </w:pPr>
          </w:p>
        </w:tc>
      </w:tr>
      <w:tr>
        <w:tc>
          <w:tcPr>
            <w:tcW w:w="2689" w:type="dxa"/>
          </w:tcPr>
          <w:p>
            <w:pPr>
              <w:tabs>
                <w:tab w:val="left" w:pos="397"/>
              </w:tabs>
              <w:spacing w:before="60" w:after="60" w:line="360" w:lineRule="auto"/>
              <w:rPr>
                <w:rFonts w:cs="Arial"/>
                <w:i/>
                <w:color w:val="008080"/>
                <w:sz w:val="20"/>
                <w:lang w:val="it-IT"/>
              </w:rPr>
            </w:pPr>
            <w:r>
              <w:rPr>
                <w:rFonts w:cs="Arial"/>
                <w:i/>
                <w:color w:val="008080"/>
                <w:sz w:val="20"/>
                <w:lang w:val="it-IT"/>
              </w:rPr>
              <w:t>Disposizioni esecutive per la procedura di qualificazione con esame finale</w:t>
            </w:r>
          </w:p>
        </w:tc>
        <w:tc>
          <w:tcPr>
            <w:tcW w:w="2126" w:type="dxa"/>
          </w:tcPr>
          <w:p>
            <w:pPr>
              <w:tabs>
                <w:tab w:val="left" w:pos="397"/>
              </w:tabs>
              <w:spacing w:before="60" w:after="60" w:line="360" w:lineRule="auto"/>
              <w:jc w:val="both"/>
              <w:rPr>
                <w:rFonts w:cs="Arial"/>
                <w:i/>
                <w:color w:val="008080"/>
                <w:sz w:val="20"/>
                <w:lang w:val="it-IT"/>
              </w:rPr>
            </w:pPr>
          </w:p>
        </w:tc>
        <w:tc>
          <w:tcPr>
            <w:tcW w:w="1605" w:type="dxa"/>
          </w:tcPr>
          <w:p>
            <w:pPr>
              <w:tabs>
                <w:tab w:val="left" w:pos="397"/>
              </w:tabs>
              <w:spacing w:before="60" w:after="60" w:line="360" w:lineRule="auto"/>
              <w:jc w:val="both"/>
              <w:rPr>
                <w:rFonts w:cs="Arial"/>
                <w:i/>
                <w:color w:val="008080"/>
                <w:sz w:val="20"/>
                <w:lang w:val="it-IT"/>
              </w:rPr>
            </w:pPr>
          </w:p>
        </w:tc>
        <w:tc>
          <w:tcPr>
            <w:tcW w:w="1513" w:type="dxa"/>
          </w:tcPr>
          <w:p>
            <w:pPr>
              <w:tabs>
                <w:tab w:val="left" w:pos="397"/>
              </w:tabs>
              <w:spacing w:before="60" w:after="60" w:line="360" w:lineRule="auto"/>
              <w:jc w:val="both"/>
              <w:rPr>
                <w:rFonts w:cs="Arial"/>
                <w:i/>
                <w:color w:val="008080"/>
                <w:sz w:val="20"/>
                <w:lang w:val="it-IT"/>
              </w:rPr>
            </w:pPr>
          </w:p>
        </w:tc>
        <w:tc>
          <w:tcPr>
            <w:tcW w:w="3165" w:type="dxa"/>
            <w:vAlign w:val="center"/>
          </w:tcPr>
          <w:p>
            <w:pPr>
              <w:tabs>
                <w:tab w:val="left" w:pos="397"/>
              </w:tabs>
              <w:spacing w:before="60" w:after="60" w:line="360" w:lineRule="auto"/>
              <w:jc w:val="both"/>
              <w:rPr>
                <w:rFonts w:cs="Arial"/>
                <w:i/>
                <w:color w:val="008080"/>
                <w:sz w:val="20"/>
                <w:lang w:val="it-IT"/>
              </w:rPr>
            </w:pPr>
          </w:p>
        </w:tc>
        <w:tc>
          <w:tcPr>
            <w:tcW w:w="3260" w:type="dxa"/>
            <w:vAlign w:val="center"/>
          </w:tcPr>
          <w:p>
            <w:pPr>
              <w:tabs>
                <w:tab w:val="left" w:pos="397"/>
              </w:tabs>
              <w:spacing w:before="60" w:after="60" w:line="360" w:lineRule="auto"/>
              <w:jc w:val="both"/>
              <w:rPr>
                <w:rFonts w:cs="Arial"/>
                <w:i/>
                <w:color w:val="008080"/>
                <w:sz w:val="20"/>
                <w:lang w:val="it-IT"/>
              </w:rPr>
            </w:pPr>
          </w:p>
        </w:tc>
      </w:tr>
    </w:tbl>
    <w:p>
      <w:pPr>
        <w:jc w:val="both"/>
        <w:rPr>
          <w:lang w:val="it-IT"/>
        </w:rPr>
      </w:pPr>
    </w:p>
    <w:p>
      <w:pPr>
        <w:jc w:val="both"/>
        <w:rPr>
          <w:lang w:val="it-IT"/>
        </w:rPr>
        <w:sectPr>
          <w:pgSz w:w="16838" w:h="11906" w:orient="landscape" w:code="9"/>
          <w:pgMar w:top="1588" w:right="1252" w:bottom="1588" w:left="851" w:header="567" w:footer="346" w:gutter="0"/>
          <w:cols w:space="708"/>
          <w:docGrid w:linePitch="360"/>
        </w:sectPr>
      </w:pPr>
    </w:p>
    <w:p>
      <w:pPr>
        <w:pStyle w:val="BFAberschriftEbene1"/>
      </w:pPr>
      <w:r>
        <w:lastRenderedPageBreak/>
        <w:t xml:space="preserve"> </w:t>
      </w:r>
      <w:bookmarkStart w:id="20" w:name="_Toc46301571"/>
      <w:r>
        <w:t>Contatti</w:t>
      </w:r>
      <w:bookmarkEnd w:id="20"/>
      <w:r>
        <w:t xml:space="preserve"> </w:t>
      </w:r>
    </w:p>
    <w:p>
      <w:pPr>
        <w:pStyle w:val="BFAText"/>
      </w:pPr>
      <w:r>
        <w:t xml:space="preserve">Nota: inserire un elenco delle parti interessate, con le relative coordinate (p. es. indirizzo e-mail o sito internet) </w:t>
      </w:r>
    </w:p>
    <w:p>
      <w:pPr>
        <w:pStyle w:val="BFAText"/>
      </w:pPr>
      <w:r>
        <w:t>Qui di seguito alcuni esempi di parti interessate.</w:t>
      </w:r>
    </w:p>
    <w:p>
      <w:pPr>
        <w:numPr>
          <w:ilvl w:val="0"/>
          <w:numId w:val="25"/>
        </w:numPr>
        <w:spacing w:before="60" w:after="60" w:line="360" w:lineRule="auto"/>
        <w:jc w:val="both"/>
        <w:rPr>
          <w:i/>
          <w:color w:val="008080"/>
          <w:sz w:val="20"/>
          <w:lang w:val="it-IT"/>
        </w:rPr>
      </w:pPr>
      <w:bookmarkStart w:id="21" w:name="_Toc225130457"/>
      <w:bookmarkStart w:id="22" w:name="_Toc225130458"/>
      <w:r>
        <w:rPr>
          <w:i/>
          <w:color w:val="008080"/>
          <w:sz w:val="20"/>
          <w:lang w:val="it-IT"/>
        </w:rPr>
        <w:t>Ente responsabile: divisioni, settori, sezioni.</w:t>
      </w:r>
    </w:p>
    <w:p>
      <w:pPr>
        <w:numPr>
          <w:ilvl w:val="0"/>
          <w:numId w:val="25"/>
        </w:numPr>
        <w:spacing w:before="60" w:after="60" w:line="360" w:lineRule="auto"/>
        <w:jc w:val="both"/>
        <w:rPr>
          <w:i/>
          <w:color w:val="008080"/>
          <w:sz w:val="20"/>
          <w:lang w:val="it-IT"/>
        </w:rPr>
      </w:pPr>
      <w:r>
        <w:rPr>
          <w:i/>
          <w:color w:val="008080"/>
          <w:sz w:val="20"/>
          <w:lang w:val="it-IT"/>
        </w:rPr>
        <w:t>Cantoni: Conferenza svizzera degli uffici della formazione professionale (</w:t>
      </w:r>
      <w:proofErr w:type="spellStart"/>
      <w:r>
        <w:rPr>
          <w:i/>
          <w:color w:val="008080"/>
          <w:sz w:val="20"/>
          <w:lang w:val="it-IT"/>
        </w:rPr>
        <w:t>CSFP</w:t>
      </w:r>
      <w:proofErr w:type="spellEnd"/>
      <w:r>
        <w:rPr>
          <w:i/>
          <w:color w:val="008080"/>
          <w:sz w:val="20"/>
          <w:lang w:val="it-IT"/>
        </w:rPr>
        <w:t xml:space="preserve">), delegati cantonali della </w:t>
      </w:r>
      <w:proofErr w:type="spellStart"/>
      <w:r>
        <w:rPr>
          <w:i/>
          <w:color w:val="008080"/>
          <w:sz w:val="20"/>
          <w:lang w:val="it-IT"/>
        </w:rPr>
        <w:t>CSFP</w:t>
      </w:r>
      <w:proofErr w:type="spellEnd"/>
      <w:r>
        <w:rPr>
          <w:i/>
          <w:color w:val="008080"/>
          <w:sz w:val="20"/>
          <w:lang w:val="it-IT"/>
        </w:rPr>
        <w:t>, uffici o divisioni cantonali della formazione professionale, ispettori cantonali del lavoro, consulenti, membri delle commissioni d’esame, capi periti, periti, orientatori professionali, ecc.</w:t>
      </w:r>
    </w:p>
    <w:p>
      <w:pPr>
        <w:numPr>
          <w:ilvl w:val="0"/>
          <w:numId w:val="25"/>
        </w:numPr>
        <w:spacing w:before="60" w:after="60" w:line="360" w:lineRule="auto"/>
        <w:jc w:val="both"/>
        <w:rPr>
          <w:i/>
          <w:color w:val="008080"/>
          <w:sz w:val="20"/>
          <w:lang w:val="it-IT"/>
        </w:rPr>
      </w:pPr>
      <w:r>
        <w:rPr>
          <w:i/>
          <w:color w:val="008080"/>
          <w:sz w:val="20"/>
          <w:lang w:val="it-IT"/>
        </w:rPr>
        <w:t>Aziende di tirocinio o centri di formazione aziendali: formatori attivi nelle aziende di tirocinio o in altri luoghi di formazione equivalenti, futuri formatori interessati.</w:t>
      </w:r>
    </w:p>
    <w:p>
      <w:pPr>
        <w:numPr>
          <w:ilvl w:val="0"/>
          <w:numId w:val="25"/>
        </w:numPr>
        <w:spacing w:before="60" w:after="60" w:line="360" w:lineRule="auto"/>
        <w:jc w:val="both"/>
        <w:rPr>
          <w:i/>
          <w:color w:val="008080"/>
          <w:sz w:val="20"/>
          <w:lang w:val="it-IT"/>
        </w:rPr>
      </w:pPr>
      <w:r>
        <w:rPr>
          <w:i/>
          <w:color w:val="008080"/>
          <w:sz w:val="20"/>
          <w:lang w:val="it-IT"/>
        </w:rPr>
        <w:t>Istituti che si occupano della formazione di base ad impostazione scolastica: responsabili della formazione scolastica e della formazione professionale pratica.</w:t>
      </w:r>
    </w:p>
    <w:p>
      <w:pPr>
        <w:numPr>
          <w:ilvl w:val="0"/>
          <w:numId w:val="25"/>
        </w:numPr>
        <w:spacing w:before="60" w:after="60" w:line="360" w:lineRule="auto"/>
        <w:jc w:val="both"/>
        <w:rPr>
          <w:i/>
          <w:color w:val="008080"/>
          <w:sz w:val="20"/>
          <w:lang w:val="it-IT"/>
        </w:rPr>
      </w:pPr>
      <w:r>
        <w:rPr>
          <w:i/>
          <w:color w:val="008080"/>
          <w:sz w:val="20"/>
          <w:lang w:val="it-IT"/>
        </w:rPr>
        <w:t>Scuole professionali: direttori, capigruppo, docenti della formazione di base scolastica, docenti di cultura generale.</w:t>
      </w:r>
    </w:p>
    <w:p>
      <w:pPr>
        <w:numPr>
          <w:ilvl w:val="0"/>
          <w:numId w:val="25"/>
        </w:numPr>
        <w:spacing w:before="60" w:after="60" w:line="360" w:lineRule="auto"/>
        <w:jc w:val="both"/>
        <w:rPr>
          <w:i/>
          <w:color w:val="008080"/>
          <w:sz w:val="20"/>
          <w:lang w:val="it-IT"/>
        </w:rPr>
      </w:pPr>
      <w:r>
        <w:rPr>
          <w:i/>
          <w:color w:val="008080"/>
          <w:sz w:val="20"/>
          <w:lang w:val="it-IT"/>
        </w:rPr>
        <w:t>Corsi interaziendali: direttori dei centri di formazione, formatori, ecc.</w:t>
      </w:r>
    </w:p>
    <w:p>
      <w:pPr>
        <w:numPr>
          <w:ilvl w:val="0"/>
          <w:numId w:val="25"/>
        </w:numPr>
        <w:spacing w:before="60" w:after="60" w:line="360" w:lineRule="auto"/>
        <w:jc w:val="both"/>
        <w:rPr>
          <w:i/>
          <w:color w:val="008080"/>
          <w:sz w:val="20"/>
          <w:lang w:val="it-IT"/>
        </w:rPr>
      </w:pPr>
      <w:r>
        <w:rPr>
          <w:i/>
          <w:color w:val="008080"/>
          <w:sz w:val="20"/>
          <w:lang w:val="it-IT"/>
        </w:rPr>
        <w:t>Altre persone interessate (p. es. genitori, ragazzi, giornalisti, ecc.).</w:t>
      </w:r>
    </w:p>
    <w:bookmarkEnd w:id="21"/>
    <w:bookmarkEnd w:id="22"/>
    <w:p>
      <w:pPr>
        <w:jc w:val="both"/>
        <w:rPr>
          <w:lang w:val="it-IT"/>
        </w:rPr>
      </w:pPr>
      <w:r>
        <w:rPr>
          <w:lang w:val="it-IT"/>
        </w:rPr>
        <w:br w:type="page"/>
      </w:r>
    </w:p>
    <w:p>
      <w:pPr>
        <w:pStyle w:val="BFAberschriftEbene1"/>
      </w:pPr>
      <w:r>
        <w:lastRenderedPageBreak/>
        <w:t xml:space="preserve"> </w:t>
      </w:r>
      <w:bookmarkStart w:id="23" w:name="_Toc46301572"/>
      <w:r>
        <w:t>Allegato</w:t>
      </w:r>
      <w:bookmarkEnd w:id="23"/>
    </w:p>
    <w:p>
      <w:pPr>
        <w:jc w:val="both"/>
        <w:rPr>
          <w:b/>
          <w:lang w:val="it-IT"/>
        </w:rPr>
      </w:pPr>
      <w:r>
        <w:rPr>
          <w:b/>
          <w:lang w:val="it-IT"/>
        </w:rPr>
        <w:t>Esempio relativo al capitolo 6 (Novità e ripercussioni)</w:t>
      </w:r>
    </w:p>
    <w:p>
      <w:pPr>
        <w:jc w:val="both"/>
        <w:rPr>
          <w:b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7"/>
        <w:gridCol w:w="6173"/>
      </w:tblGrid>
      <w:tr>
        <w:tc>
          <w:tcPr>
            <w:tcW w:w="2547" w:type="dxa"/>
          </w:tcPr>
          <w:p>
            <w:pPr>
              <w:tabs>
                <w:tab w:val="left" w:pos="397"/>
              </w:tabs>
              <w:spacing w:afterLines="40" w:after="96" w:line="276" w:lineRule="auto"/>
              <w:rPr>
                <w:rFonts w:cs="Arial"/>
                <w:b/>
                <w:sz w:val="16"/>
                <w:szCs w:val="16"/>
                <w:lang w:val="it-IT"/>
              </w:rPr>
            </w:pPr>
            <w:r>
              <w:rPr>
                <w:rFonts w:cs="Arial"/>
                <w:b/>
                <w:sz w:val="16"/>
                <w:szCs w:val="16"/>
                <w:lang w:val="it-IT"/>
              </w:rPr>
              <w:t>Novità</w:t>
            </w:r>
          </w:p>
        </w:tc>
        <w:tc>
          <w:tcPr>
            <w:tcW w:w="6173" w:type="dxa"/>
          </w:tcPr>
          <w:p>
            <w:pPr>
              <w:tabs>
                <w:tab w:val="left" w:pos="397"/>
              </w:tabs>
              <w:spacing w:line="276" w:lineRule="auto"/>
              <w:jc w:val="both"/>
              <w:rPr>
                <w:rFonts w:cs="Arial"/>
                <w:b/>
                <w:sz w:val="16"/>
                <w:szCs w:val="16"/>
                <w:lang w:val="it-IT"/>
              </w:rPr>
            </w:pPr>
            <w:r>
              <w:rPr>
                <w:rFonts w:cs="Arial"/>
                <w:b/>
                <w:sz w:val="16"/>
                <w:szCs w:val="16"/>
                <w:lang w:val="it-IT"/>
              </w:rPr>
              <w:t>Motivazioni / Spiegazioni / Ripercussioni</w:t>
            </w:r>
          </w:p>
        </w:tc>
      </w:tr>
      <w:tr>
        <w:tc>
          <w:tcPr>
            <w:tcW w:w="2547" w:type="dxa"/>
          </w:tcPr>
          <w:p>
            <w:pPr>
              <w:tabs>
                <w:tab w:val="left" w:pos="397"/>
              </w:tabs>
              <w:spacing w:afterLines="40" w:after="96" w:line="276" w:lineRule="auto"/>
              <w:rPr>
                <w:i/>
                <w:color w:val="008080"/>
                <w:sz w:val="16"/>
                <w:lang w:val="it-IT"/>
              </w:rPr>
            </w:pPr>
            <w:r>
              <w:rPr>
                <w:rFonts w:cs="Arial"/>
                <w:sz w:val="16"/>
                <w:szCs w:val="16"/>
                <w:lang w:val="it-IT"/>
              </w:rPr>
              <w:t>Impostazione della formazione professionale di base, nuova sistematica (1 professione con 4 indirizzi)</w:t>
            </w:r>
          </w:p>
        </w:tc>
        <w:tc>
          <w:tcPr>
            <w:tcW w:w="6173" w:type="dxa"/>
          </w:tcPr>
          <w:p>
            <w:pPr>
              <w:tabs>
                <w:tab w:val="left" w:pos="397"/>
              </w:tabs>
              <w:spacing w:line="276" w:lineRule="auto"/>
              <w:jc w:val="both"/>
              <w:rPr>
                <w:rFonts w:cs="Arial"/>
                <w:sz w:val="16"/>
                <w:szCs w:val="16"/>
                <w:lang w:val="it-IT"/>
              </w:rPr>
            </w:pPr>
            <w:r>
              <w:rPr>
                <w:rFonts w:cs="Arial"/>
                <w:sz w:val="16"/>
                <w:szCs w:val="16"/>
                <w:lang w:val="it-IT"/>
              </w:rPr>
              <w:t>Le quattro professioni precedenti sono state uniformate dal punto di vista contenutistico e raggruppate in un’unica professione con quattro indirizzi. La durata è stata fissata a 4 anni: i primi due anni sono dedicati alla formazione comune (scuola professionale e corsi interaziendali), mentre nel 3° e 4° anno il focus si sposta sulle specificità degli indirizzi.</w:t>
            </w:r>
          </w:p>
          <w:p>
            <w:pPr>
              <w:tabs>
                <w:tab w:val="left" w:pos="397"/>
              </w:tabs>
              <w:spacing w:line="276" w:lineRule="auto"/>
              <w:jc w:val="both"/>
              <w:rPr>
                <w:rFonts w:cs="Arial"/>
                <w:sz w:val="16"/>
                <w:szCs w:val="16"/>
                <w:lang w:val="it-IT"/>
              </w:rPr>
            </w:pPr>
            <w:r>
              <w:rPr>
                <w:rFonts w:cs="Arial"/>
                <w:sz w:val="16"/>
                <w:szCs w:val="16"/>
                <w:lang w:val="it-IT"/>
              </w:rPr>
              <w:t xml:space="preserve">Anche le denominazioni professionali sono state uniformate: </w:t>
            </w:r>
          </w:p>
          <w:p>
            <w:pPr>
              <w:pStyle w:val="Listenabsatz"/>
              <w:numPr>
                <w:ilvl w:val="0"/>
                <w:numId w:val="27"/>
              </w:numPr>
              <w:tabs>
                <w:tab w:val="left" w:pos="462"/>
              </w:tabs>
              <w:spacing w:line="276" w:lineRule="auto"/>
              <w:ind w:left="462"/>
              <w:jc w:val="both"/>
              <w:rPr>
                <w:rFonts w:cs="Arial"/>
                <w:sz w:val="16"/>
                <w:szCs w:val="16"/>
                <w:lang w:val="it-IT"/>
              </w:rPr>
            </w:pPr>
            <w:r>
              <w:rPr>
                <w:rFonts w:cs="Arial"/>
                <w:sz w:val="16"/>
                <w:szCs w:val="16"/>
                <w:lang w:val="it-IT"/>
              </w:rPr>
              <w:t xml:space="preserve">vecchia denominazione &gt; Scultrice su pietra </w:t>
            </w:r>
            <w:proofErr w:type="spellStart"/>
            <w:r>
              <w:rPr>
                <w:rFonts w:cs="Arial"/>
                <w:sz w:val="16"/>
                <w:szCs w:val="16"/>
                <w:lang w:val="it-IT"/>
              </w:rPr>
              <w:t>AFC</w:t>
            </w:r>
            <w:proofErr w:type="spellEnd"/>
            <w:r>
              <w:rPr>
                <w:rFonts w:cs="Arial"/>
                <w:sz w:val="16"/>
                <w:szCs w:val="16"/>
                <w:lang w:val="it-IT"/>
              </w:rPr>
              <w:t xml:space="preserve"> / Scultore su pietra </w:t>
            </w:r>
            <w:proofErr w:type="spellStart"/>
            <w:r>
              <w:rPr>
                <w:rFonts w:cs="Arial"/>
                <w:sz w:val="16"/>
                <w:szCs w:val="16"/>
                <w:lang w:val="it-IT"/>
              </w:rPr>
              <w:t>AFC</w:t>
            </w:r>
            <w:proofErr w:type="spellEnd"/>
            <w:r>
              <w:rPr>
                <w:rFonts w:cs="Arial"/>
                <w:sz w:val="16"/>
                <w:szCs w:val="16"/>
                <w:lang w:val="it-IT"/>
              </w:rPr>
              <w:t xml:space="preserve">; nuova denominazione &gt; Scalpellina </w:t>
            </w:r>
            <w:proofErr w:type="spellStart"/>
            <w:r>
              <w:rPr>
                <w:rFonts w:cs="Arial"/>
                <w:sz w:val="16"/>
                <w:szCs w:val="16"/>
                <w:lang w:val="it-IT"/>
              </w:rPr>
              <w:t>AFC</w:t>
            </w:r>
            <w:proofErr w:type="spellEnd"/>
            <w:r>
              <w:rPr>
                <w:rFonts w:cs="Arial"/>
                <w:sz w:val="16"/>
                <w:szCs w:val="16"/>
                <w:lang w:val="it-IT"/>
              </w:rPr>
              <w:t xml:space="preserve"> / Scalpellino </w:t>
            </w:r>
            <w:proofErr w:type="spellStart"/>
            <w:r>
              <w:rPr>
                <w:rFonts w:cs="Arial"/>
                <w:sz w:val="16"/>
                <w:szCs w:val="16"/>
                <w:lang w:val="it-IT"/>
              </w:rPr>
              <w:t>AFC</w:t>
            </w:r>
            <w:proofErr w:type="spellEnd"/>
            <w:r>
              <w:rPr>
                <w:rFonts w:cs="Arial"/>
                <w:sz w:val="16"/>
                <w:szCs w:val="16"/>
                <w:lang w:val="it-IT"/>
              </w:rPr>
              <w:t xml:space="preserve"> con indirizzo professionale Scultura;</w:t>
            </w:r>
          </w:p>
          <w:p>
            <w:pPr>
              <w:pStyle w:val="Listenabsatz"/>
              <w:numPr>
                <w:ilvl w:val="0"/>
                <w:numId w:val="27"/>
              </w:numPr>
              <w:tabs>
                <w:tab w:val="left" w:pos="462"/>
              </w:tabs>
              <w:spacing w:line="276" w:lineRule="auto"/>
              <w:ind w:left="462"/>
              <w:jc w:val="both"/>
              <w:rPr>
                <w:rFonts w:cs="Arial"/>
                <w:sz w:val="16"/>
                <w:szCs w:val="16"/>
                <w:lang w:val="it-IT"/>
              </w:rPr>
            </w:pPr>
            <w:r>
              <w:rPr>
                <w:rFonts w:cs="Arial"/>
                <w:sz w:val="16"/>
                <w:szCs w:val="16"/>
                <w:lang w:val="it-IT"/>
              </w:rPr>
              <w:t xml:space="preserve">vecchia denominazione &gt; Scalpellina </w:t>
            </w:r>
            <w:proofErr w:type="spellStart"/>
            <w:r>
              <w:rPr>
                <w:rFonts w:cs="Arial"/>
                <w:sz w:val="16"/>
                <w:szCs w:val="16"/>
                <w:lang w:val="it-IT"/>
              </w:rPr>
              <w:t>AFC</w:t>
            </w:r>
            <w:proofErr w:type="spellEnd"/>
            <w:r>
              <w:rPr>
                <w:rFonts w:cs="Arial"/>
                <w:sz w:val="16"/>
                <w:szCs w:val="16"/>
                <w:lang w:val="it-IT"/>
              </w:rPr>
              <w:t xml:space="preserve"> / Scalpellino </w:t>
            </w:r>
            <w:proofErr w:type="spellStart"/>
            <w:r>
              <w:rPr>
                <w:rFonts w:cs="Arial"/>
                <w:sz w:val="16"/>
                <w:szCs w:val="16"/>
                <w:lang w:val="it-IT"/>
              </w:rPr>
              <w:t>AFC</w:t>
            </w:r>
            <w:proofErr w:type="spellEnd"/>
            <w:r>
              <w:rPr>
                <w:rFonts w:cs="Arial"/>
                <w:sz w:val="16"/>
                <w:szCs w:val="16"/>
                <w:lang w:val="it-IT"/>
              </w:rPr>
              <w:t xml:space="preserve">; nuova denominazione &gt; Scalpellina </w:t>
            </w:r>
            <w:proofErr w:type="spellStart"/>
            <w:r>
              <w:rPr>
                <w:rFonts w:cs="Arial"/>
                <w:sz w:val="16"/>
                <w:szCs w:val="16"/>
                <w:lang w:val="it-IT"/>
              </w:rPr>
              <w:t>AFC</w:t>
            </w:r>
            <w:proofErr w:type="spellEnd"/>
            <w:r>
              <w:rPr>
                <w:rFonts w:cs="Arial"/>
                <w:sz w:val="16"/>
                <w:szCs w:val="16"/>
                <w:lang w:val="it-IT"/>
              </w:rPr>
              <w:t xml:space="preserve"> / Scalpellino </w:t>
            </w:r>
            <w:proofErr w:type="spellStart"/>
            <w:r>
              <w:rPr>
                <w:rFonts w:cs="Arial"/>
                <w:sz w:val="16"/>
                <w:szCs w:val="16"/>
                <w:lang w:val="it-IT"/>
              </w:rPr>
              <w:t>AFC</w:t>
            </w:r>
            <w:proofErr w:type="spellEnd"/>
            <w:r>
              <w:rPr>
                <w:rFonts w:cs="Arial"/>
                <w:sz w:val="16"/>
                <w:szCs w:val="16"/>
                <w:lang w:val="it-IT"/>
              </w:rPr>
              <w:t xml:space="preserve"> con indirizzo professionale Edilizia e restauro</w:t>
            </w:r>
          </w:p>
          <w:p>
            <w:pPr>
              <w:pStyle w:val="Listenabsatz"/>
              <w:numPr>
                <w:ilvl w:val="0"/>
                <w:numId w:val="27"/>
              </w:numPr>
              <w:tabs>
                <w:tab w:val="left" w:pos="462"/>
              </w:tabs>
              <w:spacing w:line="276" w:lineRule="auto"/>
              <w:ind w:left="462"/>
              <w:jc w:val="both"/>
              <w:rPr>
                <w:rFonts w:cs="Arial"/>
                <w:sz w:val="16"/>
                <w:szCs w:val="16"/>
                <w:lang w:val="it-IT"/>
              </w:rPr>
            </w:pPr>
            <w:r>
              <w:rPr>
                <w:rFonts w:cs="Arial"/>
                <w:sz w:val="16"/>
                <w:szCs w:val="16"/>
                <w:lang w:val="it-IT"/>
              </w:rPr>
              <w:t xml:space="preserve">vecchia denominazione &gt; Operatrice della pietra </w:t>
            </w:r>
            <w:proofErr w:type="spellStart"/>
            <w:r>
              <w:rPr>
                <w:rFonts w:cs="Arial"/>
                <w:sz w:val="16"/>
                <w:szCs w:val="16"/>
                <w:lang w:val="it-IT"/>
              </w:rPr>
              <w:t>AFC</w:t>
            </w:r>
            <w:proofErr w:type="spellEnd"/>
            <w:r>
              <w:rPr>
                <w:rFonts w:cs="Arial"/>
                <w:sz w:val="16"/>
                <w:szCs w:val="16"/>
                <w:lang w:val="it-IT"/>
              </w:rPr>
              <w:t xml:space="preserve"> / Operatore della pietra </w:t>
            </w:r>
            <w:proofErr w:type="spellStart"/>
            <w:r>
              <w:rPr>
                <w:rFonts w:cs="Arial"/>
                <w:sz w:val="16"/>
                <w:szCs w:val="16"/>
                <w:lang w:val="it-IT"/>
              </w:rPr>
              <w:t>AFC</w:t>
            </w:r>
            <w:proofErr w:type="spellEnd"/>
            <w:r>
              <w:rPr>
                <w:rFonts w:cs="Arial"/>
                <w:sz w:val="16"/>
                <w:szCs w:val="16"/>
                <w:lang w:val="it-IT"/>
              </w:rPr>
              <w:t xml:space="preserve">; nuova denominazione &gt; Scalpellina </w:t>
            </w:r>
            <w:proofErr w:type="spellStart"/>
            <w:r>
              <w:rPr>
                <w:rFonts w:cs="Arial"/>
                <w:sz w:val="16"/>
                <w:szCs w:val="16"/>
                <w:lang w:val="it-IT"/>
              </w:rPr>
              <w:t>AFC</w:t>
            </w:r>
            <w:proofErr w:type="spellEnd"/>
            <w:r>
              <w:rPr>
                <w:rFonts w:cs="Arial"/>
                <w:sz w:val="16"/>
                <w:szCs w:val="16"/>
                <w:lang w:val="it-IT"/>
              </w:rPr>
              <w:t xml:space="preserve"> / Scalpellino </w:t>
            </w:r>
            <w:proofErr w:type="spellStart"/>
            <w:r>
              <w:rPr>
                <w:rFonts w:cs="Arial"/>
                <w:sz w:val="16"/>
                <w:szCs w:val="16"/>
                <w:lang w:val="it-IT"/>
              </w:rPr>
              <w:t>AFC</w:t>
            </w:r>
            <w:proofErr w:type="spellEnd"/>
            <w:r>
              <w:rPr>
                <w:rFonts w:cs="Arial"/>
                <w:sz w:val="16"/>
                <w:szCs w:val="16"/>
                <w:lang w:val="it-IT"/>
              </w:rPr>
              <w:t xml:space="preserve"> con indirizzo professionale Industria (durata prolungata di un anno; nuovi contenuti nell’area disciplinare dei lavori con programmi di modellazione)</w:t>
            </w:r>
          </w:p>
          <w:p>
            <w:pPr>
              <w:pStyle w:val="Listenabsatz"/>
              <w:numPr>
                <w:ilvl w:val="0"/>
                <w:numId w:val="27"/>
              </w:numPr>
              <w:tabs>
                <w:tab w:val="left" w:pos="462"/>
              </w:tabs>
              <w:spacing w:line="276" w:lineRule="auto"/>
              <w:ind w:left="462"/>
              <w:jc w:val="both"/>
              <w:rPr>
                <w:i/>
                <w:sz w:val="16"/>
                <w:lang w:val="it-IT"/>
              </w:rPr>
            </w:pPr>
            <w:r>
              <w:rPr>
                <w:rFonts w:cs="Arial"/>
                <w:sz w:val="16"/>
                <w:szCs w:val="16"/>
                <w:lang w:val="it-IT"/>
              </w:rPr>
              <w:t xml:space="preserve">vecchia denominazione &gt; Marmista </w:t>
            </w:r>
            <w:proofErr w:type="spellStart"/>
            <w:r>
              <w:rPr>
                <w:rFonts w:cs="Arial"/>
                <w:sz w:val="16"/>
                <w:szCs w:val="16"/>
                <w:lang w:val="it-IT"/>
              </w:rPr>
              <w:t>AFC</w:t>
            </w:r>
            <w:proofErr w:type="spellEnd"/>
            <w:r>
              <w:rPr>
                <w:rFonts w:cs="Arial"/>
                <w:sz w:val="16"/>
                <w:szCs w:val="16"/>
                <w:lang w:val="it-IT"/>
              </w:rPr>
              <w:t xml:space="preserve">; nuova denominazione &gt; Scalpellina </w:t>
            </w:r>
            <w:proofErr w:type="spellStart"/>
            <w:r>
              <w:rPr>
                <w:rFonts w:cs="Arial"/>
                <w:sz w:val="16"/>
                <w:szCs w:val="16"/>
                <w:lang w:val="it-IT"/>
              </w:rPr>
              <w:t>AFC</w:t>
            </w:r>
            <w:proofErr w:type="spellEnd"/>
            <w:r>
              <w:rPr>
                <w:rFonts w:cs="Arial"/>
                <w:sz w:val="16"/>
                <w:szCs w:val="16"/>
                <w:lang w:val="it-IT"/>
              </w:rPr>
              <w:t xml:space="preserve"> / Scalpellino </w:t>
            </w:r>
            <w:proofErr w:type="spellStart"/>
            <w:r>
              <w:rPr>
                <w:rFonts w:cs="Arial"/>
                <w:sz w:val="16"/>
                <w:szCs w:val="16"/>
                <w:lang w:val="it-IT"/>
              </w:rPr>
              <w:t>AFC</w:t>
            </w:r>
            <w:proofErr w:type="spellEnd"/>
            <w:r>
              <w:rPr>
                <w:rFonts w:cs="Arial"/>
                <w:sz w:val="16"/>
                <w:szCs w:val="16"/>
                <w:lang w:val="it-IT"/>
              </w:rPr>
              <w:t xml:space="preserve"> con indirizzo professionale Progettazione e lavorazione del marmo (durata prolungata di un anno; approfondimento dei vecchi contenuti).</w:t>
            </w:r>
          </w:p>
        </w:tc>
      </w:tr>
      <w:tr>
        <w:tc>
          <w:tcPr>
            <w:tcW w:w="2547" w:type="dxa"/>
          </w:tcPr>
          <w:p>
            <w:pPr>
              <w:tabs>
                <w:tab w:val="left" w:pos="397"/>
              </w:tabs>
              <w:spacing w:afterLines="40" w:after="96" w:line="276" w:lineRule="auto"/>
              <w:rPr>
                <w:b/>
                <w:sz w:val="16"/>
                <w:lang w:val="it-IT"/>
              </w:rPr>
            </w:pPr>
            <w:r>
              <w:rPr>
                <w:sz w:val="16"/>
                <w:lang w:val="it-IT"/>
              </w:rPr>
              <w:t>Ordinanza sulla formazione professionale</w:t>
            </w:r>
            <w:r>
              <w:rPr>
                <w:rFonts w:cs="Arial"/>
                <w:sz w:val="16"/>
                <w:szCs w:val="16"/>
                <w:lang w:val="it-IT"/>
              </w:rPr>
              <w:t xml:space="preserve"> (</w:t>
            </w:r>
            <w:proofErr w:type="spellStart"/>
            <w:r>
              <w:rPr>
                <w:rFonts w:cs="Arial"/>
                <w:sz w:val="16"/>
                <w:szCs w:val="16"/>
                <w:lang w:val="it-IT"/>
              </w:rPr>
              <w:t>OFor</w:t>
            </w:r>
            <w:proofErr w:type="spellEnd"/>
            <w:r>
              <w:rPr>
                <w:rFonts w:cs="Arial"/>
                <w:sz w:val="16"/>
                <w:szCs w:val="16"/>
                <w:lang w:val="it-IT"/>
              </w:rPr>
              <w:t>) e piano di formazione</w:t>
            </w:r>
          </w:p>
        </w:tc>
        <w:tc>
          <w:tcPr>
            <w:tcW w:w="6173" w:type="dxa"/>
          </w:tcPr>
          <w:p>
            <w:pPr>
              <w:tabs>
                <w:tab w:val="left" w:pos="397"/>
              </w:tabs>
              <w:spacing w:line="276" w:lineRule="auto"/>
              <w:jc w:val="both"/>
              <w:rPr>
                <w:rFonts w:cs="Arial"/>
                <w:sz w:val="16"/>
                <w:szCs w:val="16"/>
                <w:lang w:val="it-IT"/>
              </w:rPr>
            </w:pPr>
            <w:proofErr w:type="spellStart"/>
            <w:r>
              <w:rPr>
                <w:rFonts w:cs="Arial"/>
                <w:sz w:val="16"/>
                <w:szCs w:val="16"/>
                <w:lang w:val="it-IT"/>
              </w:rPr>
              <w:t>OFor</w:t>
            </w:r>
            <w:proofErr w:type="spellEnd"/>
            <w:r>
              <w:rPr>
                <w:rFonts w:cs="Arial"/>
                <w:sz w:val="16"/>
                <w:szCs w:val="16"/>
                <w:lang w:val="it-IT"/>
              </w:rPr>
              <w:t xml:space="preserve">: eliminazione del campo professionale; l’ordinanza disciplina ora una sola professione con 4 indirizzi professionali. </w:t>
            </w:r>
          </w:p>
          <w:p>
            <w:pPr>
              <w:tabs>
                <w:tab w:val="left" w:pos="397"/>
              </w:tabs>
              <w:spacing w:line="276" w:lineRule="auto"/>
              <w:jc w:val="both"/>
              <w:rPr>
                <w:sz w:val="16"/>
                <w:lang w:val="it-IT"/>
              </w:rPr>
            </w:pPr>
            <w:r>
              <w:rPr>
                <w:rFonts w:cs="Arial"/>
                <w:sz w:val="16"/>
                <w:szCs w:val="16"/>
                <w:lang w:val="it-IT"/>
              </w:rPr>
              <w:t>Il piano di formazione si basa sul Modello competenze operative e soddisfa i requisiti dell’orientamento alle competenze operative. Il profilo professionale e la tabella delle competenze operative sono integrati; gli obiettivi di valutazione per ciascun luogo di formazione specificano le competenze operative.</w:t>
            </w:r>
          </w:p>
        </w:tc>
      </w:tr>
      <w:tr>
        <w:tc>
          <w:tcPr>
            <w:tcW w:w="2547" w:type="dxa"/>
          </w:tcPr>
          <w:p>
            <w:pPr>
              <w:tabs>
                <w:tab w:val="left" w:pos="397"/>
              </w:tabs>
              <w:spacing w:afterLines="40" w:after="96" w:line="276" w:lineRule="auto"/>
              <w:rPr>
                <w:sz w:val="16"/>
                <w:lang w:val="it-IT"/>
              </w:rPr>
            </w:pPr>
            <w:r>
              <w:rPr>
                <w:rFonts w:cs="Arial"/>
                <w:sz w:val="16"/>
                <w:szCs w:val="16"/>
                <w:lang w:val="it-IT"/>
              </w:rPr>
              <w:t>Competenze operative (CO)</w:t>
            </w:r>
          </w:p>
        </w:tc>
        <w:tc>
          <w:tcPr>
            <w:tcW w:w="6173" w:type="dxa"/>
          </w:tcPr>
          <w:p>
            <w:pPr>
              <w:tabs>
                <w:tab w:val="left" w:pos="397"/>
              </w:tabs>
              <w:spacing w:line="276" w:lineRule="auto"/>
              <w:jc w:val="both"/>
              <w:rPr>
                <w:rFonts w:cs="Arial"/>
                <w:sz w:val="16"/>
                <w:szCs w:val="16"/>
                <w:lang w:val="it-IT"/>
              </w:rPr>
            </w:pPr>
            <w:r>
              <w:rPr>
                <w:rFonts w:cs="Arial"/>
                <w:sz w:val="16"/>
                <w:szCs w:val="16"/>
                <w:lang w:val="it-IT"/>
              </w:rPr>
              <w:t xml:space="preserve">Gli insegnamenti impartiti nei tre luoghi di formazione mirano a promuovere lo sviluppo delle CO. Queste ultime rispecchiano le situazioni professionali attuali e future che gli scalpellini </w:t>
            </w:r>
            <w:proofErr w:type="spellStart"/>
            <w:r>
              <w:rPr>
                <w:rFonts w:cs="Arial"/>
                <w:sz w:val="16"/>
                <w:szCs w:val="16"/>
                <w:lang w:val="it-IT"/>
              </w:rPr>
              <w:t>AFC</w:t>
            </w:r>
            <w:proofErr w:type="spellEnd"/>
            <w:r>
              <w:rPr>
                <w:rFonts w:cs="Arial"/>
                <w:sz w:val="16"/>
                <w:szCs w:val="16"/>
                <w:lang w:val="it-IT"/>
              </w:rPr>
              <w:t xml:space="preserve"> devono essere in grado di affrontare.</w:t>
            </w:r>
          </w:p>
          <w:p>
            <w:pPr>
              <w:tabs>
                <w:tab w:val="left" w:pos="397"/>
              </w:tabs>
              <w:spacing w:line="276" w:lineRule="auto"/>
              <w:jc w:val="both"/>
              <w:rPr>
                <w:rFonts w:cs="Arial"/>
                <w:sz w:val="16"/>
                <w:szCs w:val="16"/>
                <w:lang w:val="it-IT"/>
              </w:rPr>
            </w:pPr>
            <w:r>
              <w:rPr>
                <w:rFonts w:cs="Arial"/>
                <w:sz w:val="16"/>
                <w:szCs w:val="16"/>
                <w:lang w:val="it-IT"/>
              </w:rPr>
              <w:t>La professione comprende 3 campi di competenze operative (</w:t>
            </w:r>
            <w:proofErr w:type="spellStart"/>
            <w:r>
              <w:rPr>
                <w:rFonts w:cs="Arial"/>
                <w:sz w:val="16"/>
                <w:szCs w:val="16"/>
                <w:lang w:val="it-IT"/>
              </w:rPr>
              <w:t>CCO</w:t>
            </w:r>
            <w:proofErr w:type="spellEnd"/>
            <w:r>
              <w:rPr>
                <w:rFonts w:cs="Arial"/>
                <w:sz w:val="16"/>
                <w:szCs w:val="16"/>
                <w:lang w:val="it-IT"/>
              </w:rPr>
              <w:t xml:space="preserve">) comuni con 14 CO e 3 </w:t>
            </w:r>
            <w:proofErr w:type="spellStart"/>
            <w:r>
              <w:rPr>
                <w:rFonts w:cs="Arial"/>
                <w:sz w:val="16"/>
                <w:szCs w:val="16"/>
                <w:lang w:val="it-IT"/>
              </w:rPr>
              <w:t>CCO</w:t>
            </w:r>
            <w:proofErr w:type="spellEnd"/>
            <w:r>
              <w:rPr>
                <w:rFonts w:cs="Arial"/>
                <w:sz w:val="16"/>
                <w:szCs w:val="16"/>
                <w:lang w:val="it-IT"/>
              </w:rPr>
              <w:t xml:space="preserve"> specifici dell’indirizzo professionale con altre 14 CO. Nei singoli indirizzi vengono acquisite tra le 18 e le 21 CO (scultura: 19 CO; industria: 19 CO; edilizia e restauro: 18 CO; progettazione e lavorazione del marmo: 21 CO).</w:t>
            </w:r>
          </w:p>
          <w:p>
            <w:pPr>
              <w:tabs>
                <w:tab w:val="left" w:pos="397"/>
              </w:tabs>
              <w:spacing w:line="276" w:lineRule="auto"/>
              <w:jc w:val="both"/>
              <w:rPr>
                <w:rFonts w:cs="Arial"/>
                <w:sz w:val="16"/>
                <w:szCs w:val="16"/>
                <w:lang w:val="it-IT"/>
              </w:rPr>
            </w:pPr>
            <w:r>
              <w:rPr>
                <w:rFonts w:cs="Arial"/>
                <w:sz w:val="16"/>
                <w:szCs w:val="16"/>
                <w:lang w:val="it-IT"/>
              </w:rPr>
              <w:t xml:space="preserve">I contenuti delle CO specifiche dell’indirizzo professionale sono stati ampliati e precisati per conformarli alla prassi e alle esigenze del mercato del lavoro. Gli obiettivi di valutazione sono stati adattati allo stato della tecnica. </w:t>
            </w:r>
          </w:p>
        </w:tc>
      </w:tr>
      <w:tr>
        <w:tc>
          <w:tcPr>
            <w:tcW w:w="2547" w:type="dxa"/>
          </w:tcPr>
          <w:p>
            <w:pPr>
              <w:tabs>
                <w:tab w:val="left" w:pos="397"/>
              </w:tabs>
              <w:spacing w:afterLines="40" w:after="96" w:line="276" w:lineRule="auto"/>
              <w:rPr>
                <w:sz w:val="16"/>
                <w:lang w:val="it-IT"/>
              </w:rPr>
            </w:pPr>
            <w:r>
              <w:rPr>
                <w:rFonts w:cs="Arial"/>
                <w:sz w:val="16"/>
                <w:szCs w:val="16"/>
                <w:lang w:val="it-IT"/>
              </w:rPr>
              <w:t>Programma d’insegnamento orientato alle competenze operative per le scuole professionali</w:t>
            </w:r>
          </w:p>
        </w:tc>
        <w:tc>
          <w:tcPr>
            <w:tcW w:w="6173" w:type="dxa"/>
          </w:tcPr>
          <w:p>
            <w:pPr>
              <w:tabs>
                <w:tab w:val="left" w:pos="397"/>
              </w:tabs>
              <w:spacing w:line="276" w:lineRule="auto"/>
              <w:jc w:val="both"/>
              <w:rPr>
                <w:rFonts w:cs="Arial"/>
                <w:sz w:val="16"/>
                <w:szCs w:val="16"/>
                <w:lang w:val="it-IT"/>
              </w:rPr>
            </w:pPr>
            <w:r>
              <w:rPr>
                <w:rFonts w:cs="Arial"/>
                <w:sz w:val="16"/>
                <w:szCs w:val="16"/>
                <w:lang w:val="it-IT"/>
              </w:rPr>
              <w:t xml:space="preserve">L'insegnamento scolastico non è più organizzato in materie ma secondo le CO; nella griglia delle lezioni riportata nell’ordinanza i </w:t>
            </w:r>
            <w:proofErr w:type="spellStart"/>
            <w:r>
              <w:rPr>
                <w:rFonts w:cs="Arial"/>
                <w:sz w:val="16"/>
                <w:szCs w:val="16"/>
                <w:lang w:val="it-IT"/>
              </w:rPr>
              <w:t>CCO</w:t>
            </w:r>
            <w:proofErr w:type="spellEnd"/>
            <w:r>
              <w:rPr>
                <w:rFonts w:cs="Arial"/>
                <w:sz w:val="16"/>
                <w:szCs w:val="16"/>
                <w:lang w:val="it-IT"/>
              </w:rPr>
              <w:t xml:space="preserve"> figurano come campi d’insegnamento. Ora c'è inoltre una nota per ogni semestre: nei primi due anni una nota per i 2 </w:t>
            </w:r>
            <w:proofErr w:type="spellStart"/>
            <w:r>
              <w:rPr>
                <w:rFonts w:cs="Arial"/>
                <w:sz w:val="16"/>
                <w:szCs w:val="16"/>
                <w:lang w:val="it-IT"/>
              </w:rPr>
              <w:t>CCO</w:t>
            </w:r>
            <w:proofErr w:type="spellEnd"/>
            <w:r>
              <w:rPr>
                <w:rFonts w:cs="Arial"/>
                <w:sz w:val="16"/>
                <w:szCs w:val="16"/>
                <w:lang w:val="it-IT"/>
              </w:rPr>
              <w:t xml:space="preserve"> a, b e c; nel 3° e 4° anno una nota per le CO specifiche dell’indirizzo professionale.</w:t>
            </w:r>
          </w:p>
          <w:p>
            <w:pPr>
              <w:tabs>
                <w:tab w:val="left" w:pos="397"/>
              </w:tabs>
              <w:spacing w:line="276" w:lineRule="auto"/>
              <w:jc w:val="both"/>
              <w:rPr>
                <w:rFonts w:cs="Arial"/>
                <w:sz w:val="16"/>
                <w:szCs w:val="16"/>
                <w:lang w:val="it-IT"/>
              </w:rPr>
            </w:pPr>
            <w:r>
              <w:rPr>
                <w:rFonts w:cs="Arial"/>
                <w:sz w:val="16"/>
                <w:szCs w:val="16"/>
                <w:lang w:val="it-IT"/>
              </w:rPr>
              <w:t xml:space="preserve">Le conoscenze professionali vengono insegnate orientandosi alle CO. Nella tabella relativa alla cooperazione tra i luoghi di formazione, allegata al piano di formazione, è stabilito quando vengono insegnate le singole CO e quante lezioni possono essere dedicate a ogni CO. </w:t>
            </w:r>
          </w:p>
          <w:p>
            <w:pPr>
              <w:tabs>
                <w:tab w:val="left" w:pos="397"/>
              </w:tabs>
              <w:spacing w:line="276" w:lineRule="auto"/>
              <w:jc w:val="both"/>
              <w:rPr>
                <w:sz w:val="16"/>
                <w:lang w:val="it-IT"/>
              </w:rPr>
            </w:pPr>
            <w:r>
              <w:rPr>
                <w:rFonts w:cs="Arial"/>
                <w:sz w:val="16"/>
                <w:szCs w:val="16"/>
                <w:lang w:val="it-IT"/>
              </w:rPr>
              <w:t>È in fase di sviluppo un programma d’insegnamento per le scuole professionali che vede l’applicazione della didattica situazionale</w:t>
            </w:r>
            <w:r>
              <w:rPr>
                <w:rFonts w:cs="Arial"/>
                <w:color w:val="000000"/>
                <w:sz w:val="16"/>
                <w:szCs w:val="16"/>
                <w:lang w:val="it-IT"/>
              </w:rPr>
              <w:t>.</w:t>
            </w:r>
          </w:p>
        </w:tc>
      </w:tr>
      <w:tr>
        <w:tc>
          <w:tcPr>
            <w:tcW w:w="2547" w:type="dxa"/>
          </w:tcPr>
          <w:p>
            <w:pPr>
              <w:spacing w:afterLines="40" w:after="96" w:line="276" w:lineRule="auto"/>
              <w:rPr>
                <w:rFonts w:cs="Arial"/>
                <w:sz w:val="16"/>
                <w:szCs w:val="16"/>
                <w:lang w:val="it-IT"/>
              </w:rPr>
            </w:pPr>
            <w:r>
              <w:rPr>
                <w:rFonts w:cs="Arial"/>
                <w:sz w:val="16"/>
                <w:szCs w:val="16"/>
                <w:lang w:val="it-IT"/>
              </w:rPr>
              <w:t>Ideazione e impostazione dei corsi interaziendali</w:t>
            </w:r>
          </w:p>
        </w:tc>
        <w:tc>
          <w:tcPr>
            <w:tcW w:w="6173" w:type="dxa"/>
          </w:tcPr>
          <w:p>
            <w:pPr>
              <w:tabs>
                <w:tab w:val="left" w:pos="397"/>
              </w:tabs>
              <w:spacing w:line="276" w:lineRule="auto"/>
              <w:jc w:val="both"/>
              <w:rPr>
                <w:rFonts w:cs="Arial"/>
                <w:sz w:val="16"/>
                <w:szCs w:val="16"/>
                <w:lang w:val="it-IT"/>
              </w:rPr>
            </w:pPr>
            <w:r>
              <w:rPr>
                <w:rFonts w:cs="Arial"/>
                <w:sz w:val="16"/>
                <w:szCs w:val="16"/>
                <w:lang w:val="it-IT"/>
              </w:rPr>
              <w:t xml:space="preserve">La durata di tutti i corsi interaziendali è stata fissata a 35 giorni: 20 giorni di corsi generali e 15 giorni per ogni indirizzo professionale. </w:t>
            </w:r>
          </w:p>
          <w:p>
            <w:pPr>
              <w:tabs>
                <w:tab w:val="left" w:pos="397"/>
              </w:tabs>
              <w:spacing w:line="276" w:lineRule="auto"/>
              <w:jc w:val="both"/>
              <w:rPr>
                <w:rFonts w:cs="Arial"/>
                <w:sz w:val="16"/>
                <w:szCs w:val="16"/>
                <w:lang w:val="it-IT"/>
              </w:rPr>
            </w:pPr>
            <w:r>
              <w:rPr>
                <w:rFonts w:cs="Arial"/>
                <w:sz w:val="16"/>
                <w:szCs w:val="16"/>
                <w:lang w:val="it-IT"/>
              </w:rPr>
              <w:t xml:space="preserve">Il titolo di formazione per condurre mezzi di movimentazione a pavimento viene acquisito nel 3° corso interaziendale del 2° anno di tirocinio. </w:t>
            </w:r>
          </w:p>
          <w:p>
            <w:pPr>
              <w:tabs>
                <w:tab w:val="left" w:pos="397"/>
              </w:tabs>
              <w:spacing w:line="276" w:lineRule="auto"/>
              <w:jc w:val="both"/>
              <w:rPr>
                <w:rFonts w:cs="Arial"/>
                <w:sz w:val="16"/>
                <w:szCs w:val="16"/>
                <w:lang w:val="it-IT"/>
              </w:rPr>
            </w:pPr>
            <w:r>
              <w:rPr>
                <w:rFonts w:cs="Arial"/>
                <w:sz w:val="16"/>
                <w:szCs w:val="16"/>
                <w:lang w:val="it-IT"/>
              </w:rPr>
              <w:t>Gli obiettivi di valutazione per i corsi interaziendali sono specificati nei programmi di formazione. I controlli delle competenze sono standardizzati. Sono attribuite note al corso 2 («Redigere rapporti e documentare i lavori eseguiti /</w:t>
            </w:r>
            <w:r>
              <w:rPr>
                <w:rFonts w:cs="Arial"/>
                <w:sz w:val="16"/>
                <w:szCs w:val="16"/>
                <w:lang w:val="it-IT"/>
              </w:rPr>
              <w:br/>
              <w:t>Realizzazione di manufatti») e ai corsi specifici dell’indirizzo professionale. Come in precedenza, le aziende di tirocinio ricevono un riscontro su tutti i corsi.</w:t>
            </w:r>
          </w:p>
        </w:tc>
      </w:tr>
      <w:tr>
        <w:tc>
          <w:tcPr>
            <w:tcW w:w="2547" w:type="dxa"/>
          </w:tcPr>
          <w:p>
            <w:pPr>
              <w:spacing w:afterLines="40" w:after="96" w:line="276" w:lineRule="auto"/>
              <w:rPr>
                <w:rFonts w:cs="Arial"/>
                <w:sz w:val="16"/>
                <w:szCs w:val="16"/>
                <w:lang w:val="it-IT"/>
              </w:rPr>
            </w:pPr>
            <w:r>
              <w:rPr>
                <w:rFonts w:cs="Arial"/>
                <w:sz w:val="16"/>
                <w:szCs w:val="16"/>
                <w:lang w:val="it-IT"/>
              </w:rPr>
              <w:t>Documentazione dell’apprendimento</w:t>
            </w:r>
          </w:p>
        </w:tc>
        <w:tc>
          <w:tcPr>
            <w:tcW w:w="6173" w:type="dxa"/>
          </w:tcPr>
          <w:p>
            <w:pPr>
              <w:tabs>
                <w:tab w:val="left" w:pos="397"/>
              </w:tabs>
              <w:spacing w:line="276" w:lineRule="auto"/>
              <w:jc w:val="both"/>
              <w:rPr>
                <w:rFonts w:cs="Arial"/>
                <w:sz w:val="16"/>
                <w:szCs w:val="16"/>
                <w:lang w:val="it-IT"/>
              </w:rPr>
            </w:pPr>
            <w:r>
              <w:rPr>
                <w:rFonts w:cs="Arial"/>
                <w:sz w:val="16"/>
                <w:szCs w:val="16"/>
                <w:lang w:val="it-IT"/>
              </w:rPr>
              <w:t xml:space="preserve">La documentazione dell’apprendimento è orientata alle competenze operative; nella misura del possibile vengono implementati gli standard della </w:t>
            </w:r>
            <w:proofErr w:type="spellStart"/>
            <w:r>
              <w:rPr>
                <w:rFonts w:cs="Arial"/>
                <w:sz w:val="16"/>
                <w:szCs w:val="16"/>
                <w:lang w:val="it-IT"/>
              </w:rPr>
              <w:t>SUFFP</w:t>
            </w:r>
            <w:proofErr w:type="spellEnd"/>
            <w:r>
              <w:rPr>
                <w:rFonts w:cs="Arial"/>
                <w:sz w:val="16"/>
                <w:szCs w:val="16"/>
                <w:lang w:val="it-IT"/>
              </w:rPr>
              <w:t>.</w:t>
            </w:r>
          </w:p>
        </w:tc>
      </w:tr>
      <w:tr>
        <w:tc>
          <w:tcPr>
            <w:tcW w:w="2547" w:type="dxa"/>
          </w:tcPr>
          <w:p>
            <w:pPr>
              <w:spacing w:afterLines="40" w:after="96" w:line="276" w:lineRule="auto"/>
              <w:rPr>
                <w:rFonts w:cs="Arial"/>
                <w:color w:val="008080"/>
                <w:sz w:val="16"/>
                <w:szCs w:val="16"/>
                <w:lang w:val="it-IT"/>
              </w:rPr>
            </w:pPr>
            <w:r>
              <w:rPr>
                <w:rFonts w:cs="Arial"/>
                <w:sz w:val="16"/>
                <w:szCs w:val="16"/>
                <w:lang w:val="it-IT"/>
              </w:rPr>
              <w:t>Procedura di qualificazione con esame finale (PQ)</w:t>
            </w:r>
          </w:p>
        </w:tc>
        <w:tc>
          <w:tcPr>
            <w:tcW w:w="6173" w:type="dxa"/>
          </w:tcPr>
          <w:p>
            <w:pPr>
              <w:tabs>
                <w:tab w:val="left" w:pos="397"/>
              </w:tabs>
              <w:spacing w:line="276" w:lineRule="auto"/>
              <w:jc w:val="both"/>
              <w:rPr>
                <w:rFonts w:cs="Arial"/>
                <w:sz w:val="16"/>
                <w:szCs w:val="16"/>
                <w:lang w:val="it-IT"/>
              </w:rPr>
            </w:pPr>
            <w:r>
              <w:rPr>
                <w:rFonts w:cs="Arial"/>
                <w:sz w:val="16"/>
                <w:szCs w:val="16"/>
                <w:lang w:val="it-IT"/>
              </w:rPr>
              <w:t>Novità: per tutti gli indirizzi viene svolto un lavoro pratico prestabilito con colloquio professionale (durata: 32 ore, 2 voci, ponderazione: 50 %). Le conoscenze professionali non vengono più testate con un esame finale. Ponderazione della nota dei luoghi di formazione: 30 %.</w:t>
            </w:r>
          </w:p>
        </w:tc>
      </w:tr>
    </w:tbl>
    <w:p>
      <w:pPr>
        <w:jc w:val="both"/>
        <w:rPr>
          <w:lang w:val="it-IT"/>
        </w:rPr>
        <w:sectPr>
          <w:pgSz w:w="11906" w:h="16838" w:code="9"/>
          <w:pgMar w:top="1252" w:right="1588" w:bottom="851" w:left="1588" w:header="567" w:footer="346" w:gutter="0"/>
          <w:cols w:space="708"/>
          <w:docGrid w:linePitch="360"/>
        </w:sectPr>
      </w:pPr>
    </w:p>
    <w:p>
      <w:pPr>
        <w:jc w:val="both"/>
        <w:rPr>
          <w:b/>
          <w:lang w:val="it-IT"/>
        </w:rPr>
      </w:pPr>
      <w:r>
        <w:rPr>
          <w:b/>
          <w:lang w:val="it-IT"/>
        </w:rPr>
        <w:lastRenderedPageBreak/>
        <w:t>Esempio di compilazione della tabella di cui al cap. 9</w:t>
      </w:r>
    </w:p>
    <w:p>
      <w:pPr>
        <w:pStyle w:val="BFAberschriftEbene1"/>
      </w:pPr>
      <w:bookmarkStart w:id="24" w:name="_Toc46301573"/>
      <w:r>
        <w:t>Documenti di attuazione e relative misure di informazione e preparazione</w:t>
      </w:r>
      <w:bookmarkEnd w:id="24"/>
      <w:r>
        <w:rPr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12784</wp:posOffset>
                </wp:positionV>
                <wp:extent cx="258793" cy="353683"/>
                <wp:effectExtent l="0" t="0" r="8255" b="889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793" cy="35368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3AE4B40B" id="Rechteck 1" o:spid="_x0000_s1026" style="position:absolute;margin-left:0;margin-top:1pt;width:20.4pt;height:27.8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gi2ZgIAACAFAAAOAAAAZHJzL2Uyb0RvYy54bWysVMlu2zAQvRfoPxC8N/KS1YgcGAlSFAgS&#10;IwtyZigyEkJy2CFt2f36DilZDtKgh6IXaobzZuUbnV9srGFrhaEBV/LxwYgz5SRUjXst+dPj9bdT&#10;zkIUrhIGnCr5VgV+Mf/65bz1MzWBGkylkFEQF2atL3kdo58VRZC1siIcgFeOjBrQikgqvhYVipai&#10;W1NMRqPjogWsPIJUIdDtVWfk8xxfayXjndZBRWZKTrXFfGI+X9JZzM/F7BWFrxvZlyH+oQorGkdJ&#10;h1BXIgq2wuaPULaRCAF0PJBgC9C6kSr3QN2MRx+6eaiFV7kXGk7ww5jC/wsrb9dLZE1Fb8eZE5ae&#10;6F7JOir5xsZpOq0PMwI9+CX2WiAxtbrRaNOXmmCbPNHtMFG1iUzS5eTo9ORsypkk0/Roenw6TTGL&#10;vbPHEL8rsCwJJUd6sDxHsb4JsYPuICmXcel0cN0Y01nTTZGK7MrKUtwa1aHvlabmUiE5aqaVujTI&#10;1oIIUb3lFqkc4wiZXDQFHpzGnzmZuHPqsclNZaoNjqPPHPfZBnTOCC4OjrZxgH931h1+13XXa2r7&#10;BaotvSVCR/Lg5XVDQ70RIS4FEquJ/7Sp8Y4ObaAtOfQSZzXgr8/uE57IRlbOWtqSkoefK4GKM/PD&#10;EQ3PxoeHaa2ycnh0MiEF31te3lvcyl4CzZ2oRtVlMeGj2YkawT7TQi9SVjIJJyl3yWXEnXIZu+2l&#10;X4JUi0WG0Sp5EW/cg5cpeJpqIs3j5lmg75kViZK3sNsoMftAsA6bPB0sVhF0k9m3n2s/b1rDzN/+&#10;l5H2/L2eUfsf2/w3AAAA//8DAFBLAwQUAAYACAAAACEAYvLGwtoAAAAEAQAADwAAAGRycy9kb3du&#10;cmV2LnhtbEyPQUvDQBCF74L/YZmCN7tpUSMxkyJKD0Kh2PoDNtkxCc3Oxt1tGv+940lPj+EN732v&#10;3MxuUBOF2HtGWC0zUMSNtz23CB/H7e0jqJgMWzN4JoRvirCprq9KU1h/4XeaDqlVEsKxMAhdSmOh&#10;dWw6ciYu/Ugs3qcPziQ5Q6ttMBcJd4NeZ9mDdqZnaejMSC8dNafD2SHs7dcqfx23YXL127TbuWYf&#10;XES8WczPT6ASzenvGX7xBR0qYar9mW1UA4IMSQhrETHvMplRI9znOeiq1P/hqx8AAAD//wMAUEsB&#10;Ai0AFAAGAAgAAAAhALaDOJL+AAAA4QEAABMAAAAAAAAAAAAAAAAAAAAAAFtDb250ZW50X1R5cGVz&#10;XS54bWxQSwECLQAUAAYACAAAACEAOP0h/9YAAACUAQAACwAAAAAAAAAAAAAAAAAvAQAAX3JlbHMv&#10;LnJlbHNQSwECLQAUAAYACAAAACEAh5oItmYCAAAgBQAADgAAAAAAAAAAAAAAAAAuAgAAZHJzL2Uy&#10;b0RvYy54bWxQSwECLQAUAAYACAAAACEAYvLGwtoAAAAEAQAADwAAAAAAAAAAAAAAAADABAAAZHJz&#10;L2Rvd25yZXYueG1sUEsFBgAAAAAEAAQA8wAAAMcFAAAAAA==&#10;" fillcolor="white [3201]" stroked="f" strokeweight="2pt">
                <w10:wrap anchorx="margin"/>
              </v:rect>
            </w:pict>
          </mc:Fallback>
        </mc:AlternateConten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013"/>
        <w:gridCol w:w="2148"/>
        <w:gridCol w:w="2235"/>
        <w:gridCol w:w="1255"/>
        <w:gridCol w:w="3864"/>
        <w:gridCol w:w="3210"/>
      </w:tblGrid>
      <w:tr>
        <w:tc>
          <w:tcPr>
            <w:tcW w:w="2013" w:type="dxa"/>
            <w:shd w:val="clear" w:color="auto" w:fill="B6DDE8" w:themeFill="accent5" w:themeFillTint="66"/>
          </w:tcPr>
          <w:p>
            <w:pPr>
              <w:tabs>
                <w:tab w:val="left" w:pos="397"/>
              </w:tabs>
              <w:spacing w:afterLines="40" w:after="96" w:line="20" w:lineRule="atLeast"/>
              <w:rPr>
                <w:rFonts w:cs="Arial"/>
                <w:sz w:val="16"/>
                <w:szCs w:val="16"/>
                <w:lang w:val="it-IT"/>
              </w:rPr>
            </w:pPr>
            <w:r>
              <w:rPr>
                <w:sz w:val="16"/>
                <w:szCs w:val="16"/>
                <w:lang w:val="it-IT"/>
              </w:rPr>
              <w:t>Documento  da elaborare</w:t>
            </w:r>
          </w:p>
        </w:tc>
        <w:tc>
          <w:tcPr>
            <w:tcW w:w="2148" w:type="dxa"/>
            <w:shd w:val="clear" w:color="auto" w:fill="B6DDE8" w:themeFill="accent5" w:themeFillTint="66"/>
          </w:tcPr>
          <w:p>
            <w:pPr>
              <w:tabs>
                <w:tab w:val="left" w:pos="397"/>
              </w:tabs>
              <w:spacing w:afterLines="40" w:after="96" w:line="20" w:lineRule="atLeast"/>
              <w:rPr>
                <w:rFonts w:cs="Arial"/>
                <w:sz w:val="16"/>
                <w:szCs w:val="16"/>
                <w:lang w:val="it-IT"/>
              </w:rPr>
            </w:pPr>
            <w:r>
              <w:rPr>
                <w:sz w:val="16"/>
                <w:szCs w:val="16"/>
                <w:lang w:val="it-IT"/>
              </w:rPr>
              <w:t>Carico di lavoro / Obiettivo</w:t>
            </w:r>
          </w:p>
        </w:tc>
        <w:tc>
          <w:tcPr>
            <w:tcW w:w="2235" w:type="dxa"/>
            <w:shd w:val="clear" w:color="auto" w:fill="B6DDE8" w:themeFill="accent5" w:themeFillTint="66"/>
          </w:tcPr>
          <w:p>
            <w:pPr>
              <w:tabs>
                <w:tab w:val="left" w:pos="397"/>
              </w:tabs>
              <w:spacing w:afterLines="40" w:after="96" w:line="20" w:lineRule="atLeast"/>
              <w:rPr>
                <w:rFonts w:cs="Arial"/>
                <w:sz w:val="16"/>
                <w:szCs w:val="16"/>
                <w:lang w:val="it-IT"/>
              </w:rPr>
            </w:pPr>
            <w:r>
              <w:rPr>
                <w:sz w:val="16"/>
                <w:szCs w:val="16"/>
                <w:lang w:val="it-IT"/>
              </w:rPr>
              <w:t>Elaborato da</w:t>
            </w:r>
          </w:p>
        </w:tc>
        <w:tc>
          <w:tcPr>
            <w:tcW w:w="1255" w:type="dxa"/>
            <w:shd w:val="clear" w:color="auto" w:fill="B6DDE8" w:themeFill="accent5" w:themeFillTint="66"/>
          </w:tcPr>
          <w:p>
            <w:pPr>
              <w:tabs>
                <w:tab w:val="left" w:pos="397"/>
              </w:tabs>
              <w:spacing w:afterLines="40" w:after="96" w:line="20" w:lineRule="atLeast"/>
              <w:rPr>
                <w:rFonts w:cs="Arial"/>
                <w:sz w:val="16"/>
                <w:szCs w:val="16"/>
                <w:lang w:val="it-IT"/>
              </w:rPr>
            </w:pPr>
            <w:r>
              <w:rPr>
                <w:sz w:val="16"/>
                <w:szCs w:val="16"/>
                <w:lang w:val="it-IT"/>
              </w:rPr>
              <w:t xml:space="preserve">Da elaborare entro </w:t>
            </w:r>
          </w:p>
        </w:tc>
        <w:tc>
          <w:tcPr>
            <w:tcW w:w="3864" w:type="dxa"/>
            <w:shd w:val="clear" w:color="auto" w:fill="B6DDE8" w:themeFill="accent5" w:themeFillTint="66"/>
          </w:tcPr>
          <w:p>
            <w:pPr>
              <w:tabs>
                <w:tab w:val="left" w:pos="397"/>
              </w:tabs>
              <w:spacing w:afterLines="40" w:after="96" w:line="20" w:lineRule="atLeast"/>
              <w:rPr>
                <w:rFonts w:cs="Arial"/>
                <w:sz w:val="16"/>
                <w:szCs w:val="16"/>
                <w:lang w:val="it-IT"/>
              </w:rPr>
            </w:pPr>
            <w:r>
              <w:rPr>
                <w:sz w:val="16"/>
                <w:szCs w:val="16"/>
                <w:lang w:val="it-IT"/>
              </w:rPr>
              <w:t xml:space="preserve">Misure di informazione / </w:t>
            </w:r>
            <w:r>
              <w:rPr>
                <w:i/>
                <w:sz w:val="16"/>
                <w:szCs w:val="16"/>
                <w:lang w:val="it-IT"/>
              </w:rPr>
              <w:t>Destinatari</w:t>
            </w:r>
            <w:r>
              <w:rPr>
                <w:sz w:val="16"/>
                <w:szCs w:val="16"/>
                <w:lang w:val="it-IT"/>
              </w:rPr>
              <w:t xml:space="preserve"> / Contenuto / </w:t>
            </w:r>
            <w:r>
              <w:rPr>
                <w:b/>
                <w:sz w:val="16"/>
                <w:szCs w:val="16"/>
                <w:lang w:val="it-IT"/>
              </w:rPr>
              <w:t>Periodo</w:t>
            </w:r>
          </w:p>
        </w:tc>
        <w:tc>
          <w:tcPr>
            <w:tcW w:w="3210" w:type="dxa"/>
            <w:shd w:val="clear" w:color="auto" w:fill="B6DDE8" w:themeFill="accent5" w:themeFillTint="66"/>
          </w:tcPr>
          <w:p>
            <w:pPr>
              <w:tabs>
                <w:tab w:val="left" w:pos="397"/>
              </w:tabs>
              <w:spacing w:afterLines="40" w:after="96" w:line="20" w:lineRule="atLeast"/>
              <w:rPr>
                <w:rFonts w:cs="Arial"/>
                <w:sz w:val="16"/>
                <w:szCs w:val="16"/>
                <w:lang w:val="it-IT"/>
              </w:rPr>
            </w:pPr>
            <w:r>
              <w:rPr>
                <w:sz w:val="16"/>
                <w:szCs w:val="16"/>
                <w:lang w:val="it-IT"/>
              </w:rPr>
              <w:t xml:space="preserve">Misure di preparazione / </w:t>
            </w:r>
            <w:r>
              <w:rPr>
                <w:i/>
                <w:sz w:val="16"/>
                <w:szCs w:val="16"/>
                <w:lang w:val="it-IT"/>
              </w:rPr>
              <w:t>Destinatari</w:t>
            </w:r>
            <w:r>
              <w:rPr>
                <w:sz w:val="16"/>
                <w:szCs w:val="16"/>
                <w:lang w:val="it-IT"/>
              </w:rPr>
              <w:t xml:space="preserve"> / Contenuto / </w:t>
            </w:r>
            <w:r>
              <w:rPr>
                <w:b/>
                <w:sz w:val="16"/>
                <w:szCs w:val="16"/>
                <w:lang w:val="it-IT"/>
              </w:rPr>
              <w:t>Periodo</w:t>
            </w:r>
          </w:p>
        </w:tc>
      </w:tr>
      <w:tr>
        <w:tc>
          <w:tcPr>
            <w:tcW w:w="2013" w:type="dxa"/>
          </w:tcPr>
          <w:p>
            <w:pPr>
              <w:tabs>
                <w:tab w:val="left" w:pos="397"/>
              </w:tabs>
              <w:spacing w:afterLines="40" w:after="96" w:line="20" w:lineRule="atLeast"/>
              <w:rPr>
                <w:rFonts w:cs="Arial"/>
                <w:sz w:val="16"/>
                <w:szCs w:val="16"/>
                <w:lang w:val="it-IT"/>
              </w:rPr>
            </w:pPr>
            <w:r>
              <w:rPr>
                <w:rFonts w:cs="Arial"/>
                <w:sz w:val="16"/>
                <w:szCs w:val="16"/>
                <w:lang w:val="it-IT"/>
              </w:rPr>
              <w:t>Documentazione dell’apprendimento</w:t>
            </w:r>
          </w:p>
        </w:tc>
        <w:tc>
          <w:tcPr>
            <w:tcW w:w="2148" w:type="dxa"/>
          </w:tcPr>
          <w:p>
            <w:pPr>
              <w:tabs>
                <w:tab w:val="left" w:pos="397"/>
              </w:tabs>
              <w:spacing w:afterLines="40" w:after="96" w:line="20" w:lineRule="atLeast"/>
              <w:rPr>
                <w:rFonts w:cs="Arial"/>
                <w:sz w:val="16"/>
                <w:szCs w:val="16"/>
                <w:lang w:val="it-IT"/>
              </w:rPr>
            </w:pPr>
            <w:r>
              <w:rPr>
                <w:rFonts w:cs="Arial"/>
                <w:sz w:val="16"/>
                <w:szCs w:val="16"/>
                <w:lang w:val="it-IT"/>
              </w:rPr>
              <w:t>Definire la nuova impostazione</w:t>
            </w:r>
          </w:p>
        </w:tc>
        <w:tc>
          <w:tcPr>
            <w:tcW w:w="2235" w:type="dxa"/>
            <w:vMerge w:val="restart"/>
          </w:tcPr>
          <w:p>
            <w:pPr>
              <w:tabs>
                <w:tab w:val="left" w:pos="397"/>
              </w:tabs>
              <w:spacing w:afterLines="40" w:after="96" w:line="20" w:lineRule="atLeast"/>
              <w:rPr>
                <w:rFonts w:cs="Arial"/>
                <w:sz w:val="16"/>
                <w:szCs w:val="16"/>
                <w:lang w:val="it-IT"/>
              </w:rPr>
            </w:pPr>
            <w:r>
              <w:rPr>
                <w:rFonts w:cs="Arial"/>
                <w:sz w:val="16"/>
                <w:szCs w:val="16"/>
                <w:lang w:val="it-IT"/>
              </w:rPr>
              <w:t>Gruppo di lavoro (GL) costituito da formatori attivi nell’azienda di tirocinio e dal GL dei corsi interaziendali</w:t>
            </w:r>
          </w:p>
        </w:tc>
        <w:tc>
          <w:tcPr>
            <w:tcW w:w="1255" w:type="dxa"/>
          </w:tcPr>
          <w:p>
            <w:pPr>
              <w:tabs>
                <w:tab w:val="left" w:pos="397"/>
              </w:tabs>
              <w:spacing w:afterLines="40" w:after="96" w:line="20" w:lineRule="atLeast"/>
              <w:rPr>
                <w:rFonts w:cs="Arial"/>
                <w:sz w:val="16"/>
                <w:szCs w:val="16"/>
                <w:lang w:val="it-IT"/>
              </w:rPr>
            </w:pPr>
            <w:r>
              <w:rPr>
                <w:rFonts w:cs="Arial"/>
                <w:sz w:val="16"/>
                <w:szCs w:val="16"/>
                <w:lang w:val="it-IT"/>
              </w:rPr>
              <w:t>Agosto 2020</w:t>
            </w:r>
          </w:p>
        </w:tc>
        <w:tc>
          <w:tcPr>
            <w:tcW w:w="3864" w:type="dxa"/>
            <w:vMerge w:val="restart"/>
          </w:tcPr>
          <w:p>
            <w:pPr>
              <w:tabs>
                <w:tab w:val="left" w:pos="397"/>
              </w:tabs>
              <w:spacing w:line="20" w:lineRule="atLeast"/>
              <w:rPr>
                <w:rFonts w:cs="Arial"/>
                <w:sz w:val="16"/>
                <w:szCs w:val="16"/>
                <w:lang w:val="it-IT"/>
              </w:rPr>
            </w:pPr>
            <w:r>
              <w:rPr>
                <w:rFonts w:cs="Arial"/>
                <w:sz w:val="16"/>
                <w:szCs w:val="16"/>
                <w:lang w:val="it-IT"/>
              </w:rPr>
              <w:t>Un evento, se possibile su scala nazionale.</w:t>
            </w:r>
          </w:p>
          <w:p>
            <w:pPr>
              <w:tabs>
                <w:tab w:val="left" w:pos="397"/>
              </w:tabs>
              <w:spacing w:line="20" w:lineRule="atLeast"/>
              <w:rPr>
                <w:rFonts w:cs="Arial"/>
                <w:sz w:val="16"/>
                <w:szCs w:val="16"/>
                <w:lang w:val="it-IT"/>
              </w:rPr>
            </w:pPr>
            <w:r>
              <w:rPr>
                <w:rFonts w:cs="Arial"/>
                <w:i/>
                <w:sz w:val="16"/>
                <w:szCs w:val="16"/>
                <w:lang w:val="it-IT"/>
              </w:rPr>
              <w:t>Tutti i formatori attivi nelle aziende di tirocinio.</w:t>
            </w:r>
          </w:p>
          <w:p>
            <w:pPr>
              <w:pStyle w:val="Listenabsatz"/>
              <w:numPr>
                <w:ilvl w:val="0"/>
                <w:numId w:val="38"/>
              </w:numPr>
              <w:tabs>
                <w:tab w:val="left" w:pos="397"/>
              </w:tabs>
              <w:spacing w:line="20" w:lineRule="atLeast"/>
              <w:rPr>
                <w:rFonts w:cs="Arial"/>
                <w:sz w:val="16"/>
                <w:szCs w:val="16"/>
                <w:lang w:val="it-IT"/>
              </w:rPr>
            </w:pPr>
            <w:r>
              <w:rPr>
                <w:rFonts w:cs="Arial"/>
                <w:sz w:val="16"/>
                <w:szCs w:val="16"/>
                <w:lang w:val="it-IT"/>
              </w:rPr>
              <w:t>Nuovi testi formativi</w:t>
            </w:r>
          </w:p>
          <w:p>
            <w:pPr>
              <w:pStyle w:val="Listenabsatz"/>
              <w:numPr>
                <w:ilvl w:val="0"/>
                <w:numId w:val="38"/>
              </w:numPr>
              <w:tabs>
                <w:tab w:val="left" w:pos="397"/>
              </w:tabs>
              <w:spacing w:line="20" w:lineRule="atLeast"/>
              <w:rPr>
                <w:rFonts w:cs="Arial"/>
                <w:sz w:val="16"/>
                <w:szCs w:val="16"/>
                <w:lang w:val="it-IT"/>
              </w:rPr>
            </w:pPr>
            <w:r>
              <w:rPr>
                <w:rFonts w:cs="Arial"/>
                <w:sz w:val="16"/>
                <w:szCs w:val="16"/>
                <w:lang w:val="it-IT"/>
              </w:rPr>
              <w:t>Orientamento alle competenze operative</w:t>
            </w:r>
          </w:p>
          <w:p>
            <w:pPr>
              <w:pStyle w:val="Listenabsatz"/>
              <w:numPr>
                <w:ilvl w:val="0"/>
                <w:numId w:val="38"/>
              </w:numPr>
              <w:tabs>
                <w:tab w:val="left" w:pos="397"/>
              </w:tabs>
              <w:spacing w:line="20" w:lineRule="atLeast"/>
              <w:rPr>
                <w:rFonts w:cs="Arial"/>
                <w:sz w:val="16"/>
                <w:szCs w:val="16"/>
                <w:lang w:val="it-IT"/>
              </w:rPr>
            </w:pPr>
            <w:r>
              <w:rPr>
                <w:rFonts w:cs="Arial"/>
                <w:sz w:val="16"/>
                <w:szCs w:val="16"/>
                <w:lang w:val="it-IT"/>
              </w:rPr>
              <w:t>Utilizzo della documentazione dell’apprendimento</w:t>
            </w:r>
          </w:p>
          <w:p>
            <w:pPr>
              <w:pStyle w:val="Listenabsatz"/>
              <w:numPr>
                <w:ilvl w:val="0"/>
                <w:numId w:val="38"/>
              </w:numPr>
              <w:tabs>
                <w:tab w:val="left" w:pos="397"/>
              </w:tabs>
              <w:spacing w:line="20" w:lineRule="atLeast"/>
              <w:rPr>
                <w:rFonts w:cs="Arial"/>
                <w:sz w:val="16"/>
                <w:szCs w:val="16"/>
                <w:lang w:val="it-IT"/>
              </w:rPr>
            </w:pPr>
            <w:r>
              <w:rPr>
                <w:rFonts w:cs="Arial"/>
                <w:sz w:val="16"/>
                <w:szCs w:val="16"/>
                <w:lang w:val="it-IT"/>
              </w:rPr>
              <w:t>Informazioni sulla PQ</w:t>
            </w:r>
          </w:p>
          <w:p>
            <w:pPr>
              <w:pStyle w:val="Listenabsatz"/>
              <w:numPr>
                <w:ilvl w:val="0"/>
                <w:numId w:val="38"/>
              </w:numPr>
              <w:tabs>
                <w:tab w:val="left" w:pos="397"/>
              </w:tabs>
              <w:spacing w:line="20" w:lineRule="atLeast"/>
              <w:rPr>
                <w:rFonts w:cs="Arial"/>
                <w:sz w:val="16"/>
                <w:szCs w:val="16"/>
                <w:lang w:val="it-IT"/>
              </w:rPr>
            </w:pPr>
            <w:r>
              <w:rPr>
                <w:rFonts w:cs="Arial"/>
                <w:sz w:val="16"/>
                <w:szCs w:val="16"/>
                <w:lang w:val="it-IT"/>
              </w:rPr>
              <w:t>Valutazione delle esigenze formali e contenutistiche del programma di formazione</w:t>
            </w:r>
          </w:p>
          <w:p>
            <w:pPr>
              <w:pStyle w:val="Listenabsatz"/>
              <w:numPr>
                <w:ilvl w:val="0"/>
                <w:numId w:val="38"/>
              </w:numPr>
              <w:tabs>
                <w:tab w:val="left" w:pos="397"/>
              </w:tabs>
              <w:spacing w:line="20" w:lineRule="atLeast"/>
              <w:rPr>
                <w:rFonts w:cs="Arial"/>
                <w:sz w:val="16"/>
                <w:szCs w:val="16"/>
                <w:lang w:val="it-IT"/>
              </w:rPr>
            </w:pPr>
            <w:r>
              <w:rPr>
                <w:rFonts w:cs="Arial"/>
                <w:sz w:val="16"/>
                <w:szCs w:val="16"/>
                <w:lang w:val="it-IT"/>
              </w:rPr>
              <w:t>Assistenza da parte di referenti regionali («coach»)</w:t>
            </w:r>
          </w:p>
          <w:p>
            <w:pPr>
              <w:tabs>
                <w:tab w:val="left" w:pos="397"/>
              </w:tabs>
              <w:spacing w:afterLines="40" w:after="96" w:line="20" w:lineRule="atLeast"/>
              <w:rPr>
                <w:rFonts w:cs="Arial"/>
                <w:b/>
                <w:sz w:val="16"/>
                <w:szCs w:val="16"/>
                <w:lang w:val="it-IT"/>
              </w:rPr>
            </w:pPr>
            <w:r>
              <w:rPr>
                <w:rFonts w:cs="Arial"/>
                <w:b/>
                <w:sz w:val="16"/>
                <w:szCs w:val="16"/>
                <w:lang w:val="it-IT"/>
              </w:rPr>
              <w:t>Agosto/settembre 2020</w:t>
            </w:r>
          </w:p>
        </w:tc>
        <w:tc>
          <w:tcPr>
            <w:tcW w:w="3210" w:type="dxa"/>
          </w:tcPr>
          <w:p>
            <w:pPr>
              <w:tabs>
                <w:tab w:val="left" w:pos="397"/>
              </w:tabs>
              <w:spacing w:afterLines="40" w:after="96" w:line="20" w:lineRule="atLeast"/>
              <w:rPr>
                <w:rFonts w:cs="Arial"/>
                <w:sz w:val="16"/>
                <w:szCs w:val="16"/>
                <w:lang w:val="it-IT"/>
              </w:rPr>
            </w:pPr>
          </w:p>
        </w:tc>
      </w:tr>
      <w:tr>
        <w:tc>
          <w:tcPr>
            <w:tcW w:w="2013" w:type="dxa"/>
          </w:tcPr>
          <w:p>
            <w:pPr>
              <w:tabs>
                <w:tab w:val="left" w:pos="397"/>
              </w:tabs>
              <w:spacing w:afterLines="40" w:after="96" w:line="20" w:lineRule="atLeast"/>
              <w:rPr>
                <w:rFonts w:cs="Arial"/>
                <w:sz w:val="16"/>
                <w:szCs w:val="16"/>
                <w:lang w:val="it-IT"/>
              </w:rPr>
            </w:pPr>
            <w:r>
              <w:rPr>
                <w:rFonts w:cs="Arial"/>
                <w:sz w:val="16"/>
                <w:szCs w:val="16"/>
                <w:lang w:val="it-IT"/>
              </w:rPr>
              <w:t>Programma di formazione per le aziende di tirocinio</w:t>
            </w:r>
          </w:p>
        </w:tc>
        <w:tc>
          <w:tcPr>
            <w:tcW w:w="2148" w:type="dxa"/>
          </w:tcPr>
          <w:p>
            <w:pPr>
              <w:tabs>
                <w:tab w:val="left" w:pos="397"/>
              </w:tabs>
              <w:spacing w:afterLines="40" w:after="96" w:line="20" w:lineRule="atLeast"/>
              <w:rPr>
                <w:rFonts w:cs="Arial"/>
                <w:sz w:val="16"/>
                <w:szCs w:val="16"/>
                <w:lang w:val="it-IT"/>
              </w:rPr>
            </w:pPr>
            <w:r>
              <w:rPr>
                <w:rFonts w:cs="Arial"/>
                <w:sz w:val="16"/>
                <w:szCs w:val="16"/>
                <w:lang w:val="it-IT"/>
              </w:rPr>
              <w:t>Elaborare uno strumento adeguato sulla base della tabella relativa alla cooperazione tra i luoghi di formazione, del rapporto di formazione e del piano di formazione</w:t>
            </w:r>
          </w:p>
        </w:tc>
        <w:tc>
          <w:tcPr>
            <w:tcW w:w="2235" w:type="dxa"/>
            <w:vMerge/>
          </w:tcPr>
          <w:p>
            <w:pPr>
              <w:tabs>
                <w:tab w:val="left" w:pos="397"/>
              </w:tabs>
              <w:spacing w:afterLines="40" w:after="96" w:line="20" w:lineRule="atLeast"/>
              <w:rPr>
                <w:rFonts w:cs="Arial"/>
                <w:sz w:val="16"/>
                <w:szCs w:val="16"/>
                <w:lang w:val="it-IT"/>
              </w:rPr>
            </w:pPr>
          </w:p>
        </w:tc>
        <w:tc>
          <w:tcPr>
            <w:tcW w:w="1255" w:type="dxa"/>
          </w:tcPr>
          <w:p>
            <w:pPr>
              <w:tabs>
                <w:tab w:val="left" w:pos="397"/>
              </w:tabs>
              <w:spacing w:afterLines="40" w:after="96" w:line="20" w:lineRule="atLeast"/>
              <w:rPr>
                <w:rFonts w:cs="Arial"/>
                <w:sz w:val="16"/>
                <w:szCs w:val="16"/>
                <w:lang w:val="it-IT"/>
              </w:rPr>
            </w:pPr>
            <w:r>
              <w:rPr>
                <w:rFonts w:cs="Arial"/>
                <w:sz w:val="16"/>
                <w:szCs w:val="16"/>
                <w:lang w:val="it-IT"/>
              </w:rPr>
              <w:t>Luglio 2021</w:t>
            </w:r>
          </w:p>
        </w:tc>
        <w:tc>
          <w:tcPr>
            <w:tcW w:w="3864" w:type="dxa"/>
            <w:vMerge/>
          </w:tcPr>
          <w:p>
            <w:pPr>
              <w:tabs>
                <w:tab w:val="left" w:pos="397"/>
              </w:tabs>
              <w:spacing w:afterLines="40" w:after="96" w:line="20" w:lineRule="atLeast"/>
              <w:rPr>
                <w:rFonts w:cs="Arial"/>
                <w:sz w:val="16"/>
                <w:szCs w:val="16"/>
                <w:lang w:val="it-IT"/>
              </w:rPr>
            </w:pPr>
          </w:p>
        </w:tc>
        <w:tc>
          <w:tcPr>
            <w:tcW w:w="3210" w:type="dxa"/>
          </w:tcPr>
          <w:p>
            <w:pPr>
              <w:tabs>
                <w:tab w:val="left" w:pos="397"/>
              </w:tabs>
              <w:spacing w:line="20" w:lineRule="atLeast"/>
              <w:rPr>
                <w:rFonts w:cs="Arial"/>
                <w:sz w:val="16"/>
                <w:szCs w:val="16"/>
                <w:lang w:val="it-IT"/>
              </w:rPr>
            </w:pPr>
            <w:r>
              <w:rPr>
                <w:rFonts w:cs="Arial"/>
                <w:sz w:val="16"/>
                <w:szCs w:val="16"/>
                <w:lang w:val="it-IT"/>
              </w:rPr>
              <w:t>Formare i referenti («coach»)</w:t>
            </w:r>
          </w:p>
          <w:p>
            <w:pPr>
              <w:tabs>
                <w:tab w:val="left" w:pos="397"/>
              </w:tabs>
              <w:spacing w:line="20" w:lineRule="atLeast"/>
              <w:rPr>
                <w:rFonts w:cs="Arial"/>
                <w:sz w:val="16"/>
                <w:szCs w:val="16"/>
                <w:lang w:val="it-IT"/>
              </w:rPr>
            </w:pPr>
            <w:r>
              <w:rPr>
                <w:rFonts w:cs="Arial"/>
                <w:i/>
                <w:sz w:val="16"/>
                <w:szCs w:val="16"/>
                <w:lang w:val="it-IT"/>
              </w:rPr>
              <w:t>1-2 formatori attivi nelle aziende di tirocinio per ogni regione</w:t>
            </w:r>
          </w:p>
          <w:p>
            <w:pPr>
              <w:pStyle w:val="Listenabsatz"/>
              <w:numPr>
                <w:ilvl w:val="0"/>
                <w:numId w:val="37"/>
              </w:numPr>
              <w:tabs>
                <w:tab w:val="left" w:pos="397"/>
              </w:tabs>
              <w:spacing w:line="20" w:lineRule="atLeast"/>
              <w:rPr>
                <w:rFonts w:cs="Arial"/>
                <w:sz w:val="16"/>
                <w:szCs w:val="16"/>
                <w:lang w:val="it-IT"/>
              </w:rPr>
            </w:pPr>
            <w:r>
              <w:rPr>
                <w:rFonts w:cs="Arial"/>
                <w:sz w:val="16"/>
                <w:szCs w:val="16"/>
                <w:lang w:val="it-IT"/>
              </w:rPr>
              <w:t>Ruoli</w:t>
            </w:r>
          </w:p>
          <w:p>
            <w:pPr>
              <w:pStyle w:val="Listenabsatz"/>
              <w:numPr>
                <w:ilvl w:val="0"/>
                <w:numId w:val="37"/>
              </w:numPr>
              <w:tabs>
                <w:tab w:val="left" w:pos="397"/>
              </w:tabs>
              <w:spacing w:line="20" w:lineRule="atLeast"/>
              <w:rPr>
                <w:rFonts w:cs="Arial"/>
                <w:sz w:val="16"/>
                <w:szCs w:val="16"/>
                <w:lang w:val="it-IT"/>
              </w:rPr>
            </w:pPr>
            <w:r>
              <w:rPr>
                <w:rFonts w:cs="Arial"/>
                <w:sz w:val="16"/>
                <w:szCs w:val="16"/>
                <w:lang w:val="it-IT"/>
              </w:rPr>
              <w:t>Elenco dei compiti</w:t>
            </w:r>
          </w:p>
          <w:p>
            <w:pPr>
              <w:tabs>
                <w:tab w:val="left" w:pos="397"/>
              </w:tabs>
              <w:spacing w:afterLines="40" w:after="96" w:line="20" w:lineRule="atLeast"/>
              <w:rPr>
                <w:rFonts w:cs="Arial"/>
                <w:b/>
                <w:sz w:val="16"/>
                <w:szCs w:val="16"/>
                <w:lang w:val="it-IT"/>
              </w:rPr>
            </w:pPr>
            <w:r>
              <w:rPr>
                <w:rFonts w:cs="Arial"/>
                <w:b/>
                <w:sz w:val="16"/>
                <w:szCs w:val="16"/>
                <w:lang w:val="it-IT"/>
              </w:rPr>
              <w:t>2° semestre 2021</w:t>
            </w:r>
          </w:p>
        </w:tc>
      </w:tr>
      <w:tr>
        <w:tc>
          <w:tcPr>
            <w:tcW w:w="2013" w:type="dxa"/>
          </w:tcPr>
          <w:p>
            <w:pPr>
              <w:tabs>
                <w:tab w:val="left" w:pos="397"/>
              </w:tabs>
              <w:spacing w:afterLines="40" w:after="96" w:line="20" w:lineRule="atLeast"/>
              <w:rPr>
                <w:rFonts w:cs="Arial"/>
                <w:sz w:val="16"/>
                <w:szCs w:val="16"/>
                <w:lang w:val="it-IT"/>
              </w:rPr>
            </w:pPr>
            <w:r>
              <w:rPr>
                <w:rFonts w:cs="Arial"/>
                <w:sz w:val="16"/>
                <w:szCs w:val="16"/>
                <w:lang w:val="it-IT"/>
              </w:rPr>
              <w:t>Guida per le commissioni dei corsi interaziendali</w:t>
            </w:r>
          </w:p>
        </w:tc>
        <w:tc>
          <w:tcPr>
            <w:tcW w:w="2148" w:type="dxa"/>
          </w:tcPr>
          <w:p>
            <w:pPr>
              <w:tabs>
                <w:tab w:val="left" w:pos="397"/>
              </w:tabs>
              <w:spacing w:afterLines="40" w:after="96" w:line="20" w:lineRule="atLeast"/>
              <w:rPr>
                <w:rFonts w:cs="Arial"/>
                <w:sz w:val="16"/>
                <w:szCs w:val="16"/>
                <w:lang w:val="it-IT"/>
              </w:rPr>
            </w:pPr>
            <w:r>
              <w:rPr>
                <w:rFonts w:cs="Arial"/>
                <w:sz w:val="16"/>
                <w:szCs w:val="16"/>
                <w:lang w:val="it-IT"/>
              </w:rPr>
              <w:t xml:space="preserve">Rielaborare i regolamenti esistenti / Completare la </w:t>
            </w:r>
            <w:proofErr w:type="spellStart"/>
            <w:r>
              <w:rPr>
                <w:rFonts w:cs="Arial"/>
                <w:sz w:val="16"/>
                <w:szCs w:val="16"/>
                <w:lang w:val="it-IT"/>
              </w:rPr>
              <w:t>QualCI</w:t>
            </w:r>
            <w:proofErr w:type="spellEnd"/>
          </w:p>
        </w:tc>
        <w:tc>
          <w:tcPr>
            <w:tcW w:w="2235" w:type="dxa"/>
          </w:tcPr>
          <w:p>
            <w:pPr>
              <w:tabs>
                <w:tab w:val="left" w:pos="397"/>
              </w:tabs>
              <w:spacing w:afterLines="40" w:after="96" w:line="20" w:lineRule="atLeast"/>
              <w:rPr>
                <w:rFonts w:cs="Arial"/>
                <w:sz w:val="16"/>
                <w:szCs w:val="16"/>
                <w:lang w:val="it-IT"/>
              </w:rPr>
            </w:pPr>
            <w:r>
              <w:rPr>
                <w:rFonts w:cs="Arial"/>
                <w:sz w:val="16"/>
                <w:szCs w:val="16"/>
                <w:lang w:val="it-IT"/>
              </w:rPr>
              <w:t>Commissione dei corsi interaziendali, competente per tutte le regioni linguistiche (7-10 membri nominati dall’</w:t>
            </w:r>
            <w:proofErr w:type="spellStart"/>
            <w:r>
              <w:rPr>
                <w:rFonts w:cs="Arial"/>
                <w:sz w:val="16"/>
                <w:szCs w:val="16"/>
                <w:lang w:val="it-IT"/>
              </w:rPr>
              <w:t>oml</w:t>
            </w:r>
            <w:proofErr w:type="spellEnd"/>
            <w:r>
              <w:rPr>
                <w:rFonts w:cs="Arial"/>
                <w:sz w:val="16"/>
                <w:szCs w:val="16"/>
                <w:lang w:val="it-IT"/>
              </w:rPr>
              <w:t>)</w:t>
            </w:r>
          </w:p>
        </w:tc>
        <w:tc>
          <w:tcPr>
            <w:tcW w:w="1255" w:type="dxa"/>
          </w:tcPr>
          <w:p>
            <w:pPr>
              <w:tabs>
                <w:tab w:val="left" w:pos="397"/>
              </w:tabs>
              <w:spacing w:afterLines="40" w:after="96" w:line="20" w:lineRule="atLeast"/>
              <w:rPr>
                <w:rFonts w:cs="Arial"/>
                <w:sz w:val="16"/>
                <w:szCs w:val="16"/>
                <w:lang w:val="it-IT"/>
              </w:rPr>
            </w:pPr>
            <w:r>
              <w:rPr>
                <w:rFonts w:cs="Arial"/>
                <w:sz w:val="16"/>
                <w:szCs w:val="16"/>
                <w:lang w:val="it-IT"/>
              </w:rPr>
              <w:t>Agosto 2021</w:t>
            </w:r>
          </w:p>
        </w:tc>
        <w:tc>
          <w:tcPr>
            <w:tcW w:w="3864" w:type="dxa"/>
          </w:tcPr>
          <w:p>
            <w:pPr>
              <w:tabs>
                <w:tab w:val="left" w:pos="397"/>
              </w:tabs>
              <w:spacing w:afterLines="40" w:after="96" w:line="20" w:lineRule="atLeast"/>
              <w:rPr>
                <w:rFonts w:cs="Arial"/>
                <w:sz w:val="16"/>
                <w:szCs w:val="16"/>
                <w:lang w:val="it-IT"/>
              </w:rPr>
            </w:pPr>
            <w:r>
              <w:rPr>
                <w:rFonts w:cs="Arial"/>
                <w:sz w:val="16"/>
                <w:szCs w:val="16"/>
                <w:lang w:val="it-IT"/>
              </w:rPr>
              <w:t>Nessuna</w:t>
            </w:r>
          </w:p>
        </w:tc>
        <w:tc>
          <w:tcPr>
            <w:tcW w:w="3210" w:type="dxa"/>
          </w:tcPr>
          <w:p>
            <w:pPr>
              <w:tabs>
                <w:tab w:val="left" w:pos="397"/>
              </w:tabs>
              <w:spacing w:afterLines="40" w:after="96" w:line="20" w:lineRule="atLeast"/>
              <w:rPr>
                <w:rFonts w:cs="Arial"/>
                <w:sz w:val="16"/>
                <w:szCs w:val="16"/>
                <w:lang w:val="it-IT"/>
              </w:rPr>
            </w:pPr>
            <w:r>
              <w:rPr>
                <w:rFonts w:cs="Arial"/>
                <w:sz w:val="16"/>
                <w:szCs w:val="16"/>
                <w:lang w:val="it-IT"/>
              </w:rPr>
              <w:t>Nessuna</w:t>
            </w:r>
          </w:p>
        </w:tc>
      </w:tr>
      <w:tr>
        <w:tc>
          <w:tcPr>
            <w:tcW w:w="2013" w:type="dxa"/>
          </w:tcPr>
          <w:p>
            <w:pPr>
              <w:tabs>
                <w:tab w:val="left" w:pos="397"/>
              </w:tabs>
              <w:spacing w:afterLines="40" w:after="96" w:line="20" w:lineRule="atLeast"/>
              <w:rPr>
                <w:rFonts w:cs="Arial"/>
                <w:sz w:val="16"/>
                <w:szCs w:val="16"/>
                <w:lang w:val="it-IT"/>
              </w:rPr>
            </w:pPr>
            <w:r>
              <w:rPr>
                <w:rFonts w:cs="Arial"/>
                <w:sz w:val="16"/>
                <w:szCs w:val="16"/>
                <w:lang w:val="it-IT"/>
              </w:rPr>
              <w:t>Programma di formazione per i corsi interaziendali comuni </w:t>
            </w:r>
            <w:r>
              <w:rPr>
                <w:rFonts w:cs="Arial"/>
                <w:sz w:val="16"/>
                <w:szCs w:val="16"/>
                <w:lang w:val="it-IT"/>
              </w:rPr>
              <w:br/>
              <w:t>1, 2 e 4</w:t>
            </w:r>
          </w:p>
        </w:tc>
        <w:tc>
          <w:tcPr>
            <w:tcW w:w="2148" w:type="dxa"/>
          </w:tcPr>
          <w:p>
            <w:pPr>
              <w:tabs>
                <w:tab w:val="left" w:pos="397"/>
              </w:tabs>
              <w:spacing w:afterLines="40" w:after="96" w:line="20" w:lineRule="atLeast"/>
              <w:rPr>
                <w:rFonts w:cs="Arial"/>
                <w:sz w:val="16"/>
                <w:szCs w:val="16"/>
                <w:lang w:val="it-IT"/>
              </w:rPr>
            </w:pPr>
            <w:r>
              <w:rPr>
                <w:rFonts w:cs="Arial"/>
                <w:sz w:val="16"/>
                <w:szCs w:val="16"/>
                <w:lang w:val="it-IT"/>
              </w:rPr>
              <w:t xml:space="preserve">Basarsi sui programmi e sulle griglie di valutazione esistenti </w:t>
            </w:r>
            <w:r>
              <w:rPr>
                <w:rFonts w:cs="Arial"/>
                <w:sz w:val="16"/>
                <w:szCs w:val="16"/>
                <w:lang w:val="it-IT"/>
              </w:rPr>
              <w:sym w:font="Wingdings" w:char="F0E0"/>
            </w:r>
            <w:r>
              <w:rPr>
                <w:rFonts w:cs="Arial"/>
                <w:sz w:val="16"/>
                <w:szCs w:val="16"/>
                <w:lang w:val="it-IT"/>
              </w:rPr>
              <w:t xml:space="preserve"> documento aggiornato</w:t>
            </w:r>
          </w:p>
        </w:tc>
        <w:tc>
          <w:tcPr>
            <w:tcW w:w="2235" w:type="dxa"/>
          </w:tcPr>
          <w:p>
            <w:pPr>
              <w:tabs>
                <w:tab w:val="left" w:pos="397"/>
              </w:tabs>
              <w:spacing w:afterLines="40" w:after="96" w:line="20" w:lineRule="atLeast"/>
              <w:rPr>
                <w:rFonts w:cs="Arial"/>
                <w:sz w:val="16"/>
                <w:szCs w:val="16"/>
                <w:lang w:val="it-IT"/>
              </w:rPr>
            </w:pPr>
            <w:r>
              <w:rPr>
                <w:rFonts w:cs="Arial"/>
                <w:sz w:val="16"/>
                <w:szCs w:val="16"/>
                <w:lang w:val="it-IT"/>
              </w:rPr>
              <w:t>GL costituito dai responsabili dei corsi interaziendali e da almeno un docente (4-6 persone)</w:t>
            </w:r>
          </w:p>
        </w:tc>
        <w:tc>
          <w:tcPr>
            <w:tcW w:w="1255" w:type="dxa"/>
          </w:tcPr>
          <w:p>
            <w:pPr>
              <w:tabs>
                <w:tab w:val="left" w:pos="397"/>
              </w:tabs>
              <w:spacing w:afterLines="40" w:after="96" w:line="20" w:lineRule="atLeast"/>
              <w:rPr>
                <w:rFonts w:cs="Arial"/>
                <w:sz w:val="16"/>
                <w:szCs w:val="16"/>
                <w:lang w:val="it-IT"/>
              </w:rPr>
            </w:pPr>
            <w:r>
              <w:rPr>
                <w:rFonts w:cs="Arial"/>
                <w:sz w:val="16"/>
                <w:szCs w:val="16"/>
                <w:lang w:val="it-IT"/>
              </w:rPr>
              <w:t>Agosto 2021</w:t>
            </w:r>
          </w:p>
        </w:tc>
        <w:tc>
          <w:tcPr>
            <w:tcW w:w="3864" w:type="dxa"/>
            <w:vMerge w:val="restart"/>
          </w:tcPr>
          <w:p>
            <w:pPr>
              <w:tabs>
                <w:tab w:val="left" w:pos="397"/>
              </w:tabs>
              <w:spacing w:line="20" w:lineRule="atLeast"/>
              <w:rPr>
                <w:rFonts w:cs="Arial"/>
                <w:sz w:val="16"/>
                <w:szCs w:val="16"/>
                <w:lang w:val="it-IT"/>
              </w:rPr>
            </w:pPr>
            <w:r>
              <w:rPr>
                <w:rFonts w:cs="Arial"/>
                <w:sz w:val="16"/>
                <w:szCs w:val="16"/>
                <w:lang w:val="it-IT"/>
              </w:rPr>
              <w:t>Lancio</w:t>
            </w:r>
          </w:p>
          <w:p>
            <w:pPr>
              <w:tabs>
                <w:tab w:val="left" w:pos="397"/>
              </w:tabs>
              <w:spacing w:line="20" w:lineRule="atLeast"/>
              <w:rPr>
                <w:rFonts w:cs="Arial"/>
                <w:i/>
                <w:sz w:val="16"/>
                <w:szCs w:val="16"/>
                <w:lang w:val="it-IT"/>
              </w:rPr>
            </w:pPr>
            <w:r>
              <w:rPr>
                <w:rFonts w:cs="Arial"/>
                <w:i/>
                <w:sz w:val="16"/>
                <w:szCs w:val="16"/>
                <w:lang w:val="it-IT"/>
              </w:rPr>
              <w:t>Tutti i responsabili dei corsi interaziendali e tutti i docenti</w:t>
            </w:r>
          </w:p>
          <w:p>
            <w:pPr>
              <w:pStyle w:val="Listenabsatz"/>
              <w:numPr>
                <w:ilvl w:val="0"/>
                <w:numId w:val="35"/>
              </w:numPr>
              <w:tabs>
                <w:tab w:val="left" w:pos="397"/>
              </w:tabs>
              <w:spacing w:line="20" w:lineRule="atLeast"/>
              <w:rPr>
                <w:rFonts w:cs="Arial"/>
                <w:sz w:val="16"/>
                <w:szCs w:val="16"/>
                <w:lang w:val="it-IT"/>
              </w:rPr>
            </w:pPr>
            <w:r>
              <w:rPr>
                <w:rFonts w:cs="Arial"/>
                <w:sz w:val="16"/>
                <w:szCs w:val="16"/>
                <w:lang w:val="it-IT"/>
              </w:rPr>
              <w:t>Elaborazione di un piano didattico</w:t>
            </w:r>
          </w:p>
          <w:p>
            <w:pPr>
              <w:pStyle w:val="Listenabsatz"/>
              <w:numPr>
                <w:ilvl w:val="0"/>
                <w:numId w:val="35"/>
              </w:numPr>
              <w:tabs>
                <w:tab w:val="left" w:pos="397"/>
              </w:tabs>
              <w:spacing w:line="20" w:lineRule="atLeast"/>
              <w:rPr>
                <w:rFonts w:cs="Arial"/>
                <w:sz w:val="16"/>
                <w:szCs w:val="16"/>
                <w:lang w:val="it-IT"/>
              </w:rPr>
            </w:pPr>
            <w:r>
              <w:rPr>
                <w:rFonts w:cs="Arial"/>
                <w:sz w:val="16"/>
                <w:szCs w:val="16"/>
                <w:lang w:val="it-IT"/>
              </w:rPr>
              <w:t>Orientamento alle competenze operative</w:t>
            </w:r>
          </w:p>
          <w:p>
            <w:pPr>
              <w:pStyle w:val="Listenabsatz"/>
              <w:numPr>
                <w:ilvl w:val="0"/>
                <w:numId w:val="35"/>
              </w:numPr>
              <w:tabs>
                <w:tab w:val="left" w:pos="397"/>
              </w:tabs>
              <w:spacing w:line="20" w:lineRule="atLeast"/>
              <w:rPr>
                <w:rFonts w:cs="Arial"/>
                <w:sz w:val="16"/>
                <w:szCs w:val="16"/>
                <w:lang w:val="it-IT"/>
              </w:rPr>
            </w:pPr>
            <w:r>
              <w:rPr>
                <w:rFonts w:cs="Arial"/>
                <w:sz w:val="16"/>
                <w:szCs w:val="16"/>
                <w:lang w:val="it-IT"/>
              </w:rPr>
              <w:t>Procedura di elaborazione e attuazione dei corsi interaziendali e dell’insegnamento delle conoscenze professionali</w:t>
            </w:r>
          </w:p>
          <w:p>
            <w:pPr>
              <w:tabs>
                <w:tab w:val="left" w:pos="397"/>
              </w:tabs>
              <w:spacing w:line="20" w:lineRule="atLeast"/>
              <w:rPr>
                <w:rFonts w:cs="Arial"/>
                <w:sz w:val="16"/>
                <w:szCs w:val="16"/>
                <w:lang w:val="it-IT"/>
              </w:rPr>
            </w:pPr>
            <w:r>
              <w:rPr>
                <w:rFonts w:cs="Arial"/>
                <w:b/>
                <w:sz w:val="16"/>
                <w:szCs w:val="16"/>
                <w:lang w:val="it-IT"/>
              </w:rPr>
              <w:t>Maggio 2020</w:t>
            </w:r>
          </w:p>
          <w:p>
            <w:pPr>
              <w:tabs>
                <w:tab w:val="left" w:pos="397"/>
              </w:tabs>
              <w:spacing w:line="20" w:lineRule="atLeast"/>
              <w:rPr>
                <w:rFonts w:cs="Arial"/>
                <w:sz w:val="16"/>
                <w:szCs w:val="16"/>
                <w:lang w:val="it-IT"/>
              </w:rPr>
            </w:pPr>
            <w:r>
              <w:rPr>
                <w:rFonts w:cs="Arial"/>
                <w:sz w:val="16"/>
                <w:szCs w:val="16"/>
                <w:lang w:val="it-IT"/>
              </w:rPr>
              <w:t>(in seguito, avvio delle attività del GL responsabile dei corsi interaziendali e del GL responsabile del programma d’insegnamento)</w:t>
            </w:r>
          </w:p>
          <w:p>
            <w:pPr>
              <w:tabs>
                <w:tab w:val="left" w:pos="397"/>
              </w:tabs>
              <w:spacing w:afterLines="40" w:after="96" w:line="20" w:lineRule="atLeast"/>
              <w:rPr>
                <w:rFonts w:cs="Arial"/>
                <w:sz w:val="16"/>
                <w:szCs w:val="16"/>
                <w:lang w:val="it-IT"/>
              </w:rPr>
            </w:pPr>
          </w:p>
        </w:tc>
        <w:tc>
          <w:tcPr>
            <w:tcW w:w="3210" w:type="dxa"/>
          </w:tcPr>
          <w:p>
            <w:pPr>
              <w:tabs>
                <w:tab w:val="left" w:pos="397"/>
              </w:tabs>
              <w:spacing w:line="20" w:lineRule="atLeast"/>
              <w:rPr>
                <w:rFonts w:cs="Arial"/>
                <w:sz w:val="16"/>
                <w:szCs w:val="16"/>
                <w:lang w:val="it-IT"/>
              </w:rPr>
            </w:pPr>
            <w:r>
              <w:rPr>
                <w:rFonts w:cs="Arial"/>
                <w:sz w:val="16"/>
                <w:szCs w:val="16"/>
                <w:lang w:val="it-IT"/>
              </w:rPr>
              <w:t>Attuazione dei corsi 1, 2 e 4</w:t>
            </w:r>
          </w:p>
          <w:p>
            <w:pPr>
              <w:tabs>
                <w:tab w:val="left" w:pos="397"/>
              </w:tabs>
              <w:spacing w:line="20" w:lineRule="atLeast"/>
              <w:rPr>
                <w:rFonts w:cs="Arial"/>
                <w:i/>
                <w:sz w:val="16"/>
                <w:szCs w:val="16"/>
                <w:lang w:val="it-IT"/>
              </w:rPr>
            </w:pPr>
            <w:r>
              <w:rPr>
                <w:rFonts w:cs="Arial"/>
                <w:i/>
                <w:sz w:val="16"/>
                <w:szCs w:val="16"/>
                <w:lang w:val="it-IT"/>
              </w:rPr>
              <w:t>Tutti i responsabili dei corsi interaziendali</w:t>
            </w:r>
          </w:p>
          <w:p>
            <w:pPr>
              <w:pStyle w:val="Listenabsatz"/>
              <w:numPr>
                <w:ilvl w:val="0"/>
                <w:numId w:val="35"/>
              </w:numPr>
              <w:tabs>
                <w:tab w:val="left" w:pos="397"/>
              </w:tabs>
              <w:spacing w:line="20" w:lineRule="atLeast"/>
              <w:rPr>
                <w:rFonts w:cs="Arial"/>
                <w:sz w:val="16"/>
                <w:szCs w:val="16"/>
                <w:lang w:val="it-IT"/>
              </w:rPr>
            </w:pPr>
            <w:r>
              <w:rPr>
                <w:rFonts w:cs="Arial"/>
                <w:sz w:val="16"/>
                <w:szCs w:val="16"/>
                <w:lang w:val="it-IT"/>
              </w:rPr>
              <w:t>Programmi/documenti/valutazioni</w:t>
            </w:r>
          </w:p>
          <w:p>
            <w:pPr>
              <w:tabs>
                <w:tab w:val="left" w:pos="397"/>
              </w:tabs>
              <w:spacing w:afterLines="40" w:after="96" w:line="20" w:lineRule="atLeast"/>
              <w:rPr>
                <w:rFonts w:cs="Arial"/>
                <w:b/>
                <w:sz w:val="16"/>
                <w:szCs w:val="16"/>
                <w:lang w:val="it-IT"/>
              </w:rPr>
            </w:pPr>
            <w:r>
              <w:rPr>
                <w:rFonts w:cs="Arial"/>
                <w:b/>
                <w:sz w:val="16"/>
                <w:szCs w:val="16"/>
                <w:lang w:val="it-IT"/>
              </w:rPr>
              <w:t>Settembre/ottobre 2021</w:t>
            </w:r>
          </w:p>
        </w:tc>
      </w:tr>
      <w:tr>
        <w:tc>
          <w:tcPr>
            <w:tcW w:w="2013" w:type="dxa"/>
          </w:tcPr>
          <w:p>
            <w:pPr>
              <w:tabs>
                <w:tab w:val="left" w:pos="397"/>
              </w:tabs>
              <w:spacing w:afterLines="40" w:after="96" w:line="20" w:lineRule="atLeast"/>
              <w:rPr>
                <w:rFonts w:cs="Arial"/>
                <w:sz w:val="16"/>
                <w:szCs w:val="16"/>
                <w:lang w:val="it-IT"/>
              </w:rPr>
            </w:pPr>
            <w:r>
              <w:rPr>
                <w:rFonts w:cs="Arial"/>
                <w:sz w:val="16"/>
                <w:szCs w:val="16"/>
                <w:lang w:val="it-IT"/>
              </w:rPr>
              <w:t>Programma di formazione per i corsi interaziendali specifici dell’indirizzo professionale 5-12</w:t>
            </w:r>
          </w:p>
        </w:tc>
        <w:tc>
          <w:tcPr>
            <w:tcW w:w="2148" w:type="dxa"/>
          </w:tcPr>
          <w:p>
            <w:pPr>
              <w:tabs>
                <w:tab w:val="left" w:pos="397"/>
              </w:tabs>
              <w:spacing w:afterLines="40" w:after="96" w:line="20" w:lineRule="atLeast"/>
              <w:rPr>
                <w:rFonts w:cs="Arial"/>
                <w:sz w:val="16"/>
                <w:szCs w:val="16"/>
                <w:lang w:val="it-IT"/>
              </w:rPr>
            </w:pPr>
            <w:r>
              <w:rPr>
                <w:rFonts w:cs="Arial"/>
                <w:sz w:val="16"/>
                <w:szCs w:val="16"/>
                <w:lang w:val="it-IT"/>
              </w:rPr>
              <w:t>Programmi dei corsi e griglia di valutazione aggiornati</w:t>
            </w:r>
          </w:p>
        </w:tc>
        <w:tc>
          <w:tcPr>
            <w:tcW w:w="2235" w:type="dxa"/>
          </w:tcPr>
          <w:p>
            <w:pPr>
              <w:tabs>
                <w:tab w:val="left" w:pos="397"/>
              </w:tabs>
              <w:spacing w:afterLines="40" w:after="96" w:line="20" w:lineRule="atLeast"/>
              <w:rPr>
                <w:rFonts w:cs="Arial"/>
                <w:sz w:val="16"/>
                <w:szCs w:val="16"/>
                <w:lang w:val="it-IT"/>
              </w:rPr>
            </w:pPr>
            <w:r>
              <w:rPr>
                <w:rFonts w:cs="Arial"/>
                <w:sz w:val="16"/>
                <w:szCs w:val="16"/>
                <w:lang w:val="it-IT"/>
              </w:rPr>
              <w:t xml:space="preserve">4 GL, uno per ogni indirizzo professionale, tutti i responsabili dei corsi aziendali </w:t>
            </w:r>
          </w:p>
        </w:tc>
        <w:tc>
          <w:tcPr>
            <w:tcW w:w="1255" w:type="dxa"/>
          </w:tcPr>
          <w:p>
            <w:pPr>
              <w:tabs>
                <w:tab w:val="left" w:pos="397"/>
              </w:tabs>
              <w:spacing w:afterLines="40" w:after="96" w:line="20" w:lineRule="atLeast"/>
              <w:rPr>
                <w:rFonts w:cs="Arial"/>
                <w:sz w:val="16"/>
                <w:szCs w:val="16"/>
                <w:lang w:val="it-IT"/>
              </w:rPr>
            </w:pPr>
            <w:r>
              <w:rPr>
                <w:rFonts w:cs="Arial"/>
                <w:sz w:val="16"/>
                <w:szCs w:val="16"/>
                <w:lang w:val="it-IT"/>
              </w:rPr>
              <w:t>Agosto 2023</w:t>
            </w:r>
          </w:p>
        </w:tc>
        <w:tc>
          <w:tcPr>
            <w:tcW w:w="3864" w:type="dxa"/>
            <w:vMerge/>
          </w:tcPr>
          <w:p>
            <w:pPr>
              <w:tabs>
                <w:tab w:val="left" w:pos="397"/>
              </w:tabs>
              <w:spacing w:afterLines="40" w:after="96" w:line="20" w:lineRule="atLeast"/>
              <w:rPr>
                <w:rFonts w:cs="Arial"/>
                <w:sz w:val="16"/>
                <w:szCs w:val="16"/>
                <w:lang w:val="it-IT"/>
              </w:rPr>
            </w:pPr>
          </w:p>
        </w:tc>
        <w:tc>
          <w:tcPr>
            <w:tcW w:w="3210" w:type="dxa"/>
          </w:tcPr>
          <w:p>
            <w:pPr>
              <w:tabs>
                <w:tab w:val="left" w:pos="397"/>
              </w:tabs>
              <w:spacing w:afterLines="40" w:after="96" w:line="20" w:lineRule="atLeast"/>
              <w:rPr>
                <w:rFonts w:cs="Arial"/>
                <w:sz w:val="16"/>
                <w:szCs w:val="16"/>
                <w:lang w:val="it-IT"/>
              </w:rPr>
            </w:pPr>
          </w:p>
        </w:tc>
      </w:tr>
      <w:tr>
        <w:tc>
          <w:tcPr>
            <w:tcW w:w="2013" w:type="dxa"/>
          </w:tcPr>
          <w:p>
            <w:pPr>
              <w:tabs>
                <w:tab w:val="left" w:pos="397"/>
              </w:tabs>
              <w:spacing w:line="20" w:lineRule="atLeast"/>
              <w:rPr>
                <w:rFonts w:cs="Arial"/>
                <w:sz w:val="16"/>
                <w:szCs w:val="16"/>
                <w:lang w:val="it-IT"/>
              </w:rPr>
            </w:pPr>
            <w:r>
              <w:rPr>
                <w:rFonts w:cs="Arial"/>
                <w:sz w:val="16"/>
                <w:szCs w:val="16"/>
                <w:lang w:val="it-IT"/>
              </w:rPr>
              <w:t xml:space="preserve">Programma d’insegnamento per le scuole professionali </w:t>
            </w:r>
          </w:p>
          <w:p>
            <w:pPr>
              <w:tabs>
                <w:tab w:val="left" w:pos="397"/>
              </w:tabs>
              <w:spacing w:afterLines="40" w:after="96" w:line="20" w:lineRule="atLeast"/>
              <w:rPr>
                <w:rFonts w:cs="Arial"/>
                <w:sz w:val="16"/>
                <w:szCs w:val="16"/>
                <w:lang w:val="it-IT"/>
              </w:rPr>
            </w:pPr>
            <w:r>
              <w:rPr>
                <w:rFonts w:cs="Arial"/>
                <w:sz w:val="16"/>
                <w:szCs w:val="16"/>
                <w:lang w:val="it-IT"/>
              </w:rPr>
              <w:t>1° e 2° anno</w:t>
            </w:r>
          </w:p>
        </w:tc>
        <w:tc>
          <w:tcPr>
            <w:tcW w:w="2148" w:type="dxa"/>
            <w:vMerge w:val="restart"/>
          </w:tcPr>
          <w:p>
            <w:pPr>
              <w:tabs>
                <w:tab w:val="left" w:pos="397"/>
              </w:tabs>
              <w:spacing w:afterLines="40" w:after="96" w:line="20" w:lineRule="atLeast"/>
              <w:rPr>
                <w:rFonts w:cs="Arial"/>
                <w:sz w:val="16"/>
                <w:szCs w:val="16"/>
                <w:lang w:val="it-IT"/>
              </w:rPr>
            </w:pPr>
            <w:r>
              <w:rPr>
                <w:rFonts w:cs="Arial"/>
                <w:sz w:val="16"/>
                <w:szCs w:val="16"/>
                <w:lang w:val="it-IT"/>
              </w:rPr>
              <w:t>Nuovo / orientato alle competenze operative</w:t>
            </w:r>
          </w:p>
        </w:tc>
        <w:tc>
          <w:tcPr>
            <w:tcW w:w="2235" w:type="dxa"/>
          </w:tcPr>
          <w:p>
            <w:pPr>
              <w:tabs>
                <w:tab w:val="left" w:pos="397"/>
              </w:tabs>
              <w:spacing w:afterLines="40" w:after="96" w:line="20" w:lineRule="atLeast"/>
              <w:rPr>
                <w:rFonts w:cs="Arial"/>
                <w:sz w:val="16"/>
                <w:szCs w:val="16"/>
                <w:lang w:val="it-IT"/>
              </w:rPr>
            </w:pPr>
            <w:r>
              <w:rPr>
                <w:rFonts w:cs="Arial"/>
                <w:sz w:val="16"/>
                <w:szCs w:val="16"/>
                <w:lang w:val="it-IT"/>
              </w:rPr>
              <w:t>GL costituito da docenti di tutti gli indirizzi professionali (4-6 persone)</w:t>
            </w:r>
          </w:p>
        </w:tc>
        <w:tc>
          <w:tcPr>
            <w:tcW w:w="1255" w:type="dxa"/>
          </w:tcPr>
          <w:p>
            <w:pPr>
              <w:tabs>
                <w:tab w:val="left" w:pos="397"/>
              </w:tabs>
              <w:spacing w:afterLines="40" w:after="96" w:line="20" w:lineRule="atLeast"/>
              <w:rPr>
                <w:rFonts w:cs="Arial"/>
                <w:sz w:val="16"/>
                <w:szCs w:val="16"/>
                <w:lang w:val="it-IT"/>
              </w:rPr>
            </w:pPr>
            <w:r>
              <w:rPr>
                <w:rFonts w:cs="Arial"/>
                <w:sz w:val="16"/>
                <w:szCs w:val="16"/>
                <w:lang w:val="it-IT"/>
              </w:rPr>
              <w:t>Gennaio 2021</w:t>
            </w:r>
          </w:p>
        </w:tc>
        <w:tc>
          <w:tcPr>
            <w:tcW w:w="3864" w:type="dxa"/>
            <w:vMerge/>
          </w:tcPr>
          <w:p>
            <w:pPr>
              <w:tabs>
                <w:tab w:val="left" w:pos="397"/>
              </w:tabs>
              <w:spacing w:afterLines="40" w:after="96" w:line="20" w:lineRule="atLeast"/>
              <w:rPr>
                <w:rFonts w:cs="Arial"/>
                <w:sz w:val="16"/>
                <w:szCs w:val="16"/>
                <w:lang w:val="it-IT"/>
              </w:rPr>
            </w:pPr>
          </w:p>
        </w:tc>
        <w:tc>
          <w:tcPr>
            <w:tcW w:w="3210" w:type="dxa"/>
          </w:tcPr>
          <w:p>
            <w:pPr>
              <w:tabs>
                <w:tab w:val="left" w:pos="397"/>
              </w:tabs>
              <w:spacing w:afterLines="40" w:after="96" w:line="20" w:lineRule="atLeast"/>
              <w:rPr>
                <w:rFonts w:cs="Arial"/>
                <w:sz w:val="16"/>
                <w:szCs w:val="16"/>
                <w:lang w:val="it-IT"/>
              </w:rPr>
            </w:pPr>
            <w:r>
              <w:rPr>
                <w:rFonts w:cs="Arial"/>
                <w:sz w:val="16"/>
                <w:szCs w:val="16"/>
                <w:lang w:val="it-IT"/>
              </w:rPr>
              <w:t>I docenti sono regolarmente coinvolti nel processo di elaborazione</w:t>
            </w:r>
          </w:p>
        </w:tc>
      </w:tr>
      <w:tr>
        <w:tc>
          <w:tcPr>
            <w:tcW w:w="2013" w:type="dxa"/>
          </w:tcPr>
          <w:p>
            <w:pPr>
              <w:tabs>
                <w:tab w:val="left" w:pos="397"/>
              </w:tabs>
              <w:spacing w:line="20" w:lineRule="atLeast"/>
              <w:rPr>
                <w:rFonts w:cs="Arial"/>
                <w:sz w:val="16"/>
                <w:szCs w:val="16"/>
                <w:lang w:val="it-IT"/>
              </w:rPr>
            </w:pPr>
            <w:r>
              <w:rPr>
                <w:rFonts w:cs="Arial"/>
                <w:sz w:val="16"/>
                <w:szCs w:val="16"/>
                <w:lang w:val="it-IT"/>
              </w:rPr>
              <w:t xml:space="preserve">Programma d’insegnamento per le scuole professionali </w:t>
            </w:r>
          </w:p>
          <w:p>
            <w:pPr>
              <w:tabs>
                <w:tab w:val="left" w:pos="397"/>
              </w:tabs>
              <w:spacing w:afterLines="40" w:after="96" w:line="20" w:lineRule="atLeast"/>
              <w:rPr>
                <w:rFonts w:cs="Arial"/>
                <w:sz w:val="16"/>
                <w:szCs w:val="16"/>
                <w:lang w:val="it-IT"/>
              </w:rPr>
            </w:pPr>
            <w:r>
              <w:rPr>
                <w:rFonts w:cs="Arial"/>
                <w:sz w:val="16"/>
                <w:szCs w:val="16"/>
                <w:lang w:val="it-IT"/>
              </w:rPr>
              <w:t>3° e 4° anno</w:t>
            </w:r>
          </w:p>
        </w:tc>
        <w:tc>
          <w:tcPr>
            <w:tcW w:w="2148" w:type="dxa"/>
            <w:vMerge/>
          </w:tcPr>
          <w:p>
            <w:pPr>
              <w:tabs>
                <w:tab w:val="left" w:pos="397"/>
              </w:tabs>
              <w:spacing w:afterLines="40" w:after="96" w:line="20" w:lineRule="atLeast"/>
              <w:rPr>
                <w:rFonts w:cs="Arial"/>
                <w:sz w:val="16"/>
                <w:szCs w:val="16"/>
                <w:lang w:val="it-IT"/>
              </w:rPr>
            </w:pPr>
          </w:p>
        </w:tc>
        <w:tc>
          <w:tcPr>
            <w:tcW w:w="2235" w:type="dxa"/>
          </w:tcPr>
          <w:p>
            <w:pPr>
              <w:tabs>
                <w:tab w:val="left" w:pos="397"/>
              </w:tabs>
              <w:spacing w:afterLines="40" w:after="96" w:line="20" w:lineRule="atLeast"/>
              <w:rPr>
                <w:rFonts w:cs="Arial"/>
                <w:sz w:val="16"/>
                <w:szCs w:val="16"/>
                <w:lang w:val="it-IT"/>
              </w:rPr>
            </w:pPr>
            <w:r>
              <w:rPr>
                <w:rFonts w:cs="Arial"/>
                <w:sz w:val="16"/>
                <w:szCs w:val="16"/>
                <w:lang w:val="it-IT"/>
              </w:rPr>
              <w:t>4 GL, uno per ogni indirizzo professionale, tutti i docenti</w:t>
            </w:r>
          </w:p>
        </w:tc>
        <w:tc>
          <w:tcPr>
            <w:tcW w:w="1255" w:type="dxa"/>
          </w:tcPr>
          <w:p>
            <w:pPr>
              <w:tabs>
                <w:tab w:val="left" w:pos="397"/>
              </w:tabs>
              <w:spacing w:afterLines="40" w:after="96" w:line="20" w:lineRule="atLeast"/>
              <w:rPr>
                <w:rFonts w:cs="Arial"/>
                <w:sz w:val="16"/>
                <w:szCs w:val="16"/>
                <w:lang w:val="it-IT"/>
              </w:rPr>
            </w:pPr>
            <w:r>
              <w:rPr>
                <w:rFonts w:cs="Arial"/>
                <w:sz w:val="16"/>
                <w:szCs w:val="16"/>
                <w:lang w:val="it-IT"/>
              </w:rPr>
              <w:t>Gennaio 2022</w:t>
            </w:r>
          </w:p>
        </w:tc>
        <w:tc>
          <w:tcPr>
            <w:tcW w:w="3864" w:type="dxa"/>
            <w:vMerge/>
          </w:tcPr>
          <w:p>
            <w:pPr>
              <w:tabs>
                <w:tab w:val="left" w:pos="397"/>
              </w:tabs>
              <w:spacing w:afterLines="40" w:after="96" w:line="20" w:lineRule="atLeast"/>
              <w:rPr>
                <w:rFonts w:cs="Arial"/>
                <w:sz w:val="16"/>
                <w:szCs w:val="16"/>
                <w:lang w:val="it-IT"/>
              </w:rPr>
            </w:pPr>
          </w:p>
        </w:tc>
        <w:tc>
          <w:tcPr>
            <w:tcW w:w="3210" w:type="dxa"/>
          </w:tcPr>
          <w:p>
            <w:pPr>
              <w:tabs>
                <w:tab w:val="left" w:pos="397"/>
              </w:tabs>
              <w:spacing w:afterLines="40" w:after="96" w:line="20" w:lineRule="atLeast"/>
              <w:rPr>
                <w:rFonts w:cs="Arial"/>
                <w:sz w:val="16"/>
                <w:szCs w:val="16"/>
                <w:lang w:val="it-IT"/>
              </w:rPr>
            </w:pPr>
          </w:p>
        </w:tc>
      </w:tr>
    </w:tbl>
    <w:p>
      <w:pPr>
        <w:pStyle w:val="BFAText"/>
      </w:pPr>
    </w:p>
    <w:sectPr>
      <w:headerReference w:type="default" r:id="rId15"/>
      <w:headerReference w:type="first" r:id="rId16"/>
      <w:pgSz w:w="16838" w:h="11906" w:orient="landscape" w:code="9"/>
      <w:pgMar w:top="1588" w:right="1252" w:bottom="1588" w:left="851" w:header="567" w:footer="3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  <w:endnote w:type="continuationNotice" w:id="1"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uzeile"/>
      <w:jc w:val="right"/>
      <w:rPr>
        <w:sz w:val="16"/>
      </w:rPr>
    </w:pPr>
    <w:r>
      <w:rPr>
        <w:sz w:val="16"/>
      </w:rPr>
      <w:fldChar w:fldCharType="begin"/>
    </w:r>
    <w:r>
      <w:rPr>
        <w:sz w:val="16"/>
      </w:rPr>
      <w:instrText>PAGE   \* MERGEFORMAT</w:instrText>
    </w:r>
    <w:r>
      <w:rPr>
        <w:sz w:val="16"/>
      </w:rPr>
      <w:fldChar w:fldCharType="separate"/>
    </w:r>
    <w:r>
      <w:rPr>
        <w:noProof/>
        <w:sz w:val="16"/>
        <w:lang w:val="de-DE"/>
      </w:rPr>
      <w:t>2</w:t>
    </w:r>
    <w:r>
      <w:rPr>
        <w:sz w:val="16"/>
      </w:rPr>
      <w:fldChar w:fldCharType="end"/>
    </w:r>
  </w:p>
  <w:p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  <w:footnote w:type="continuationNotice" w:id="1">
    <w:p/>
  </w:footnote>
  <w:footnote w:id="2">
    <w:p>
      <w:pPr>
        <w:pStyle w:val="Funotentext"/>
      </w:pPr>
      <w:r>
        <w:rPr>
          <w:rStyle w:val="Funotenzeichen"/>
        </w:rPr>
        <w:footnoteRef/>
      </w:r>
      <w:r>
        <w:t xml:space="preserve"> </w:t>
      </w:r>
      <w:hyperlink r:id="rId1" w:history="1">
        <w:r>
          <w:rPr>
            <w:rStyle w:val="Hyperlink"/>
            <w:sz w:val="20"/>
          </w:rPr>
          <w:t>CLPO</w:t>
        </w:r>
      </w:hyperlink>
      <w:r>
        <w:rPr>
          <w:sz w:val="20"/>
        </w:rPr>
        <w:t xml:space="preserve">, </w:t>
      </w:r>
      <w:hyperlink r:id="rId2" w:history="1">
        <w:r>
          <w:rPr>
            <w:rStyle w:val="Hyperlink"/>
            <w:rFonts w:ascii="Arial" w:hAnsi="Arial" w:cs="Arial"/>
            <w:sz w:val="20"/>
          </w:rPr>
          <w:t>NW EDK</w:t>
        </w:r>
      </w:hyperlink>
      <w:r>
        <w:rPr>
          <w:rFonts w:ascii="Arial" w:hAnsi="Arial" w:cs="Arial"/>
          <w:sz w:val="20"/>
        </w:rPr>
        <w:t>,</w:t>
      </w:r>
      <w:r>
        <w:rPr>
          <w:sz w:val="20"/>
        </w:rPr>
        <w:t xml:space="preserve"> </w:t>
      </w:r>
      <w:hyperlink r:id="rId3" w:history="1">
        <w:r>
          <w:rPr>
            <w:rStyle w:val="Hyperlink"/>
            <w:sz w:val="20"/>
          </w:rPr>
          <w:t>EDK OST</w:t>
        </w:r>
      </w:hyperlink>
      <w:r>
        <w:rPr>
          <w:sz w:val="20"/>
        </w:rPr>
        <w:t xml:space="preserve">, </w:t>
      </w:r>
      <w:hyperlink r:id="rId4" w:history="1">
        <w:proofErr w:type="spellStart"/>
        <w:r>
          <w:rPr>
            <w:rStyle w:val="Hyperlink"/>
            <w:sz w:val="20"/>
          </w:rPr>
          <w:t>ZBK</w:t>
        </w:r>
        <w:proofErr w:type="spellEnd"/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Kopfzeile"/>
      <w:rPr>
        <w:color w:val="FF0000"/>
        <w:sz w:val="16"/>
        <w:szCs w:val="16"/>
        <w:lang w:val="it-IT"/>
      </w:rPr>
    </w:pPr>
    <w:r>
      <w:rPr>
        <w:sz w:val="16"/>
        <w:szCs w:val="16"/>
        <w:lang w:val="it-IT"/>
      </w:rPr>
      <w:t xml:space="preserve">PIP relativo all’ordinanza della </w:t>
    </w:r>
    <w:proofErr w:type="spellStart"/>
    <w:r>
      <w:rPr>
        <w:sz w:val="16"/>
        <w:szCs w:val="16"/>
        <w:lang w:val="it-IT"/>
      </w:rPr>
      <w:t>SEFRI</w:t>
    </w:r>
    <w:proofErr w:type="spellEnd"/>
    <w:r>
      <w:rPr>
        <w:sz w:val="16"/>
        <w:szCs w:val="16"/>
        <w:lang w:val="it-IT"/>
      </w:rPr>
      <w:t xml:space="preserve"> sulla formazione professionale di base </w:t>
    </w:r>
    <w:r>
      <w:rPr>
        <w:color w:val="FF0000"/>
        <w:sz w:val="16"/>
        <w:szCs w:val="16"/>
        <w:lang w:val="it-IT"/>
      </w:rPr>
      <w:t>[</w:t>
    </w:r>
    <w:r>
      <w:rPr>
        <w:color w:val="FF0000"/>
        <w:sz w:val="16"/>
        <w:szCs w:val="16"/>
        <w:lang w:val="it-IT"/>
      </w:rPr>
      <w:t>titolo f/ titolo m</w:t>
    </w:r>
    <w:r>
      <w:rPr>
        <w:color w:val="FF0000"/>
        <w:sz w:val="16"/>
        <w:szCs w:val="16"/>
        <w:lang w:val="it-IT"/>
      </w:rPr>
      <w:t>]</w:t>
    </w:r>
  </w:p>
  <w:p>
    <w:pPr>
      <w:pStyle w:val="Kopfzeile"/>
      <w:rPr>
        <w:lang w:val="it-IT"/>
      </w:rPr>
    </w:pPr>
    <w:r>
      <w:rPr>
        <w:sz w:val="16"/>
        <w:szCs w:val="16"/>
        <w:lang w:val="it-IT"/>
      </w:rPr>
      <w:t>__________________________________________________________________________________________________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31644A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435279"/>
    <w:multiLevelType w:val="hybridMultilevel"/>
    <w:tmpl w:val="4B78CB20"/>
    <w:lvl w:ilvl="0" w:tplc="7E587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94E7B"/>
    <w:multiLevelType w:val="hybridMultilevel"/>
    <w:tmpl w:val="1F74EE8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4128A4"/>
    <w:multiLevelType w:val="hybridMultilevel"/>
    <w:tmpl w:val="A2DC48D8"/>
    <w:lvl w:ilvl="0" w:tplc="1B08552E">
      <w:start w:val="1"/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Bookman Old Style" w:eastAsia="Bookman Old Style" w:hAnsi="Bookman Old Style" w:cs="Bookman Old Style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E57D68"/>
    <w:multiLevelType w:val="hybridMultilevel"/>
    <w:tmpl w:val="A8044C2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BE067C"/>
    <w:multiLevelType w:val="multilevel"/>
    <w:tmpl w:val="96E69CD0"/>
    <w:lvl w:ilvl="0">
      <w:start w:val="1"/>
      <w:numFmt w:val="upperLetter"/>
      <w:pStyle w:val="BFAAnhangberschrift1Ebene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248370F2"/>
    <w:multiLevelType w:val="hybridMultilevel"/>
    <w:tmpl w:val="B54EE970"/>
    <w:lvl w:ilvl="0" w:tplc="DAD84DD8">
      <w:start w:val="2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861135"/>
    <w:multiLevelType w:val="hybridMultilevel"/>
    <w:tmpl w:val="847299DC"/>
    <w:lvl w:ilvl="0" w:tplc="0807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8" w15:restartNumberingAfterBreak="0">
    <w:nsid w:val="35634A30"/>
    <w:multiLevelType w:val="hybridMultilevel"/>
    <w:tmpl w:val="9160ADEE"/>
    <w:lvl w:ilvl="0" w:tplc="3594B6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D3C248C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5FA045B"/>
    <w:multiLevelType w:val="hybridMultilevel"/>
    <w:tmpl w:val="7B6C48AC"/>
    <w:lvl w:ilvl="0" w:tplc="7E5871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9A24126"/>
    <w:multiLevelType w:val="multilevel"/>
    <w:tmpl w:val="19D697FC"/>
    <w:lvl w:ilvl="0">
      <w:start w:val="1"/>
      <w:numFmt w:val="bullet"/>
      <w:pStyle w:val="berschriftEbene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E601FF9"/>
    <w:multiLevelType w:val="hybridMultilevel"/>
    <w:tmpl w:val="9712231A"/>
    <w:lvl w:ilvl="0" w:tplc="7256D804">
      <w:start w:val="1"/>
      <w:numFmt w:val="bullet"/>
      <w:pStyle w:val="BFAAufzhlung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8B0E1B7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2C213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3689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3A0B4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036BF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B4EE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9289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BFA14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983169"/>
    <w:multiLevelType w:val="hybridMultilevel"/>
    <w:tmpl w:val="25BE3270"/>
    <w:lvl w:ilvl="0" w:tplc="F5DCC062"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3" w15:restartNumberingAfterBreak="0">
    <w:nsid w:val="56565C9E"/>
    <w:multiLevelType w:val="multilevel"/>
    <w:tmpl w:val="51361938"/>
    <w:lvl w:ilvl="0">
      <w:start w:val="1"/>
      <w:numFmt w:val="decimal"/>
      <w:isLgl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berschriftEbene2"/>
      <w:isLgl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5EFF235F"/>
    <w:multiLevelType w:val="hybridMultilevel"/>
    <w:tmpl w:val="64C2C85C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2133160"/>
    <w:multiLevelType w:val="hybridMultilevel"/>
    <w:tmpl w:val="E3E08DA6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3421C6C"/>
    <w:multiLevelType w:val="hybridMultilevel"/>
    <w:tmpl w:val="11E28B44"/>
    <w:lvl w:ilvl="0" w:tplc="7E587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F761D5"/>
    <w:multiLevelType w:val="hybridMultilevel"/>
    <w:tmpl w:val="EB048DDC"/>
    <w:lvl w:ilvl="0" w:tplc="08070001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8" w15:restartNumberingAfterBreak="0">
    <w:nsid w:val="67724EC3"/>
    <w:multiLevelType w:val="hybridMultilevel"/>
    <w:tmpl w:val="EDBAA376"/>
    <w:lvl w:ilvl="0" w:tplc="55028482">
      <w:start w:val="1"/>
      <w:numFmt w:val="decimal"/>
      <w:pStyle w:val="BFAberschriftEbene1"/>
      <w:lvlText w:val="%1."/>
      <w:lvlJc w:val="left"/>
      <w:pPr>
        <w:ind w:left="720" w:hanging="360"/>
      </w:p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935B08"/>
    <w:multiLevelType w:val="hybridMultilevel"/>
    <w:tmpl w:val="22B87148"/>
    <w:lvl w:ilvl="0" w:tplc="799E2322"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0" w15:restartNumberingAfterBreak="0">
    <w:nsid w:val="6D0B06D7"/>
    <w:multiLevelType w:val="hybridMultilevel"/>
    <w:tmpl w:val="89AC1E84"/>
    <w:lvl w:ilvl="0" w:tplc="2D765B8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9E2ED2"/>
    <w:multiLevelType w:val="hybridMultilevel"/>
    <w:tmpl w:val="898E7A74"/>
    <w:lvl w:ilvl="0" w:tplc="991898A6">
      <w:numFmt w:val="bullet"/>
      <w:lvlText w:val="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2" w15:restartNumberingAfterBreak="0">
    <w:nsid w:val="74287C0C"/>
    <w:multiLevelType w:val="hybridMultilevel"/>
    <w:tmpl w:val="6DBC265A"/>
    <w:lvl w:ilvl="0" w:tplc="DDD6E728">
      <w:start w:val="1"/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3" w15:restartNumberingAfterBreak="0">
    <w:nsid w:val="76CD777E"/>
    <w:multiLevelType w:val="multilevel"/>
    <w:tmpl w:val="EEDAC624"/>
    <w:lvl w:ilvl="0">
      <w:start w:val="1"/>
      <w:numFmt w:val="decimal"/>
      <w:isLgl/>
      <w:lvlText w:val="%1."/>
      <w:lvlJc w:val="left"/>
      <w:pPr>
        <w:tabs>
          <w:tab w:val="num" w:pos="867"/>
        </w:tabs>
        <w:ind w:left="8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67"/>
        </w:tabs>
        <w:ind w:left="667" w:hanging="567"/>
      </w:pPr>
      <w:rPr>
        <w:rFonts w:hint="default"/>
      </w:rPr>
    </w:lvl>
    <w:lvl w:ilvl="2">
      <w:start w:val="1"/>
      <w:numFmt w:val="decimal"/>
      <w:pStyle w:val="111BFAberschriftEbene3"/>
      <w:isLgl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11"/>
  </w:num>
  <w:num w:numId="3">
    <w:abstractNumId w:val="23"/>
  </w:num>
  <w:num w:numId="4">
    <w:abstractNumId w:val="13"/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3"/>
  </w:num>
  <w:num w:numId="8">
    <w:abstractNumId w:val="23"/>
  </w:num>
  <w:num w:numId="9">
    <w:abstractNumId w:val="23"/>
  </w:num>
  <w:num w:numId="10">
    <w:abstractNumId w:val="23"/>
  </w:num>
  <w:num w:numId="11">
    <w:abstractNumId w:val="23"/>
  </w:num>
  <w:num w:numId="12">
    <w:abstractNumId w:val="23"/>
  </w:num>
  <w:num w:numId="13">
    <w:abstractNumId w:val="23"/>
  </w:num>
  <w:num w:numId="14">
    <w:abstractNumId w:val="23"/>
  </w:num>
  <w:num w:numId="15">
    <w:abstractNumId w:val="0"/>
  </w:num>
  <w:num w:numId="16">
    <w:abstractNumId w:val="23"/>
  </w:num>
  <w:num w:numId="17">
    <w:abstractNumId w:val="23"/>
  </w:num>
  <w:num w:numId="18">
    <w:abstractNumId w:val="7"/>
  </w:num>
  <w:num w:numId="19">
    <w:abstractNumId w:val="9"/>
  </w:num>
  <w:num w:numId="20">
    <w:abstractNumId w:val="16"/>
  </w:num>
  <w:num w:numId="21">
    <w:abstractNumId w:val="1"/>
  </w:num>
  <w:num w:numId="22">
    <w:abstractNumId w:val="23"/>
  </w:num>
  <w:num w:numId="23">
    <w:abstractNumId w:val="15"/>
  </w:num>
  <w:num w:numId="24">
    <w:abstractNumId w:val="14"/>
  </w:num>
  <w:num w:numId="25">
    <w:abstractNumId w:val="2"/>
  </w:num>
  <w:num w:numId="26">
    <w:abstractNumId w:val="8"/>
  </w:num>
  <w:num w:numId="27">
    <w:abstractNumId w:val="4"/>
  </w:num>
  <w:num w:numId="28">
    <w:abstractNumId w:val="20"/>
  </w:num>
  <w:num w:numId="29">
    <w:abstractNumId w:val="6"/>
  </w:num>
  <w:num w:numId="30">
    <w:abstractNumId w:val="8"/>
  </w:num>
  <w:num w:numId="31">
    <w:abstractNumId w:val="8"/>
  </w:num>
  <w:num w:numId="32">
    <w:abstractNumId w:val="8"/>
  </w:num>
  <w:num w:numId="33">
    <w:abstractNumId w:val="8"/>
  </w:num>
  <w:num w:numId="34">
    <w:abstractNumId w:val="8"/>
  </w:num>
  <w:num w:numId="35">
    <w:abstractNumId w:val="12"/>
  </w:num>
  <w:num w:numId="36">
    <w:abstractNumId w:val="21"/>
  </w:num>
  <w:num w:numId="37">
    <w:abstractNumId w:val="19"/>
  </w:num>
  <w:num w:numId="38">
    <w:abstractNumId w:val="22"/>
  </w:num>
  <w:num w:numId="39">
    <w:abstractNumId w:val="1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ctiveWritingStyle w:appName="MSWord" w:lang="de-CH" w:vendorID="64" w:dllVersion="6" w:nlCheck="1" w:checkStyle="0"/>
  <w:activeWritingStyle w:appName="MSWord" w:lang="de-DE" w:vendorID="64" w:dllVersion="6" w:nlCheck="1" w:checkStyle="0"/>
  <w:activeWritingStyle w:appName="MSWord" w:lang="fr-FR" w:vendorID="64" w:dllVersion="6" w:nlCheck="1" w:checkStyle="1"/>
  <w:activeWritingStyle w:appName="MSWord" w:lang="en-GB" w:vendorID="64" w:dllVersion="6" w:nlCheck="1" w:checkStyle="1"/>
  <w:activeWritingStyle w:appName="MSWord" w:lang="de-CH" w:vendorID="64" w:dllVersion="4096" w:nlCheck="1" w:checkStyle="0"/>
  <w:activeWritingStyle w:appName="MSWord" w:lang="de-DE" w:vendorID="64" w:dllVersion="4096" w:nlCheck="1" w:checkStyle="0"/>
  <w:activeWritingStyle w:appName="MSWord" w:lang="it-CH" w:vendorID="64" w:dllVersion="6" w:nlCheck="1" w:checkStyle="0"/>
  <w:activeWritingStyle w:appName="MSWord" w:lang="it-IT" w:vendorID="64" w:dllVersion="6" w:nlCheck="1" w:checkStyle="0"/>
  <w:activeWritingStyle w:appName="MSWord" w:lang="fr-CH" w:vendorID="64" w:dllVersion="6" w:nlCheck="1" w:checkStyle="0"/>
  <w:activeWritingStyle w:appName="MSWord" w:lang="en-AU" w:vendorID="64" w:dllVersion="6" w:nlCheck="1" w:checkStyle="1"/>
  <w:activeWritingStyle w:appName="MSWord" w:lang="it-IT" w:vendorID="64" w:dllVersion="0" w:nlCheck="1" w:checkStyle="0"/>
  <w:activeWritingStyle w:appName="MSWord" w:lang="de-CH" w:vendorID="64" w:dllVersion="0" w:nlCheck="1" w:checkStyle="0"/>
  <w:activeWritingStyle w:appName="MSWord" w:lang="de-DE" w:vendorID="64" w:dllVersion="0" w:nlCheck="1" w:checkStyle="0"/>
  <w:activeWritingStyle w:appName="MSWord" w:lang="it-IT" w:vendorID="64" w:dllVersion="4096" w:nlCheck="1" w:checkStyle="0"/>
  <w:proofState w:spelling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397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SourceLng" w:val="deu"/>
    <w:docVar w:name="TargetLng" w:val="ita"/>
    <w:docVar w:name="TermBases" w:val="SLF_prov (version du 5.4.2020)|SLI_prov|SLI_old|SLI"/>
    <w:docVar w:name="TermBaseURL" w:val="empty"/>
    <w:docVar w:name="TextBases" w:val="10.222.11.163\TextBase TMs\_WBF\SLC RS 2006 n|10.222.11.163\TextBase TMs\SLI\SLI_SEFRI|10.222.11.163\TextBase TMs\SLF\SLF_travail|10.222.11.163\TextBase TMs\_WBF\BK_SLC-I Messaggi dal 2017"/>
    <w:docVar w:name="TextBaseURL" w:val="empty"/>
    <w:docVar w:name="UILng" w:val="en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5:docId w15:val="{40B7861F-C54F-4BC7-BF96-EAC4D703A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iPriority="99" w:unhideWhenUsed="1"/>
    <w:lsdException w:name="FollowedHyperlink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2"/>
    <w:lsdException w:name="No Spacing" w:uiPriority="63"/>
    <w:lsdException w:name="Light Shading" w:uiPriority="64"/>
    <w:lsdException w:name="Light List" w:uiPriority="65"/>
    <w:lsdException w:name="Light Grid" w:uiPriority="99"/>
    <w:lsdException w:name="Medium Shading 1" w:uiPriority="34" w:qFormat="1"/>
    <w:lsdException w:name="Medium Shading 2" w:uiPriority="29" w:qFormat="1"/>
    <w:lsdException w:name="Medium List 1" w:uiPriority="30" w:qFormat="1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71"/>
    <w:lsdException w:name="List Paragraph" w:uiPriority="72"/>
    <w:lsdException w:name="Quote" w:uiPriority="68"/>
    <w:lsdException w:name="Intense Quote" w:uiPriority="69"/>
    <w:lsdException w:name="Medium List 2 Accent 1" w:uiPriority="70"/>
    <w:lsdException w:name="Medium Grid 1 Accent 1" w:uiPriority="71"/>
    <w:lsdException w:name="Medium Grid 2 Accent 1" w:uiPriority="72"/>
    <w:lsdException w:name="Medium Grid 3 Accent 1" w:uiPriority="73"/>
    <w:lsdException w:name="Dark List Accent 1" w:uiPriority="60"/>
    <w:lsdException w:name="Colorful Shading Accent 1" w:uiPriority="61"/>
    <w:lsdException w:name="Colorful List Accent 1" w:uiPriority="62"/>
    <w:lsdException w:name="Colorful Grid Accent 1" w:uiPriority="63"/>
    <w:lsdException w:name="Light Shading Accent 2" w:uiPriority="64"/>
    <w:lsdException w:name="Light List Accent 2" w:uiPriority="65"/>
    <w:lsdException w:name="Light Grid Accent 2" w:uiPriority="66"/>
    <w:lsdException w:name="Medium Shading 1 Accent 2" w:uiPriority="67"/>
    <w:lsdException w:name="Medium Shading 2 Accent 2" w:uiPriority="68"/>
    <w:lsdException w:name="Medium List 1 Accent 2" w:uiPriority="69"/>
    <w:lsdException w:name="Medium List 2 Accent 2" w:uiPriority="70"/>
    <w:lsdException w:name="Medium Grid 1 Accent 2" w:uiPriority="71"/>
    <w:lsdException w:name="Medium Grid 2 Accent 2" w:uiPriority="72"/>
    <w:lsdException w:name="Medium Grid 3 Accent 2" w:uiPriority="73"/>
    <w:lsdException w:name="Dark List Accent 2" w:uiPriority="60"/>
    <w:lsdException w:name="Colorful Shading Accent 2" w:uiPriority="61"/>
    <w:lsdException w:name="Colorful List Accent 2" w:uiPriority="62"/>
    <w:lsdException w:name="Colorful Grid Accent 2" w:uiPriority="63"/>
    <w:lsdException w:name="Light Shading Accent 3" w:uiPriority="64"/>
    <w:lsdException w:name="Light List Accent 3" w:uiPriority="65"/>
    <w:lsdException w:name="Light Grid Accent 3" w:uiPriority="66"/>
    <w:lsdException w:name="Medium Shading 1 Accent 3" w:uiPriority="67"/>
    <w:lsdException w:name="Medium Shading 2 Accent 3" w:uiPriority="68"/>
    <w:lsdException w:name="Medium List 1 Accent 3" w:uiPriority="69"/>
    <w:lsdException w:name="Medium List 2 Accent 3" w:uiPriority="70"/>
    <w:lsdException w:name="Medium Grid 1 Accent 3" w:uiPriority="71"/>
    <w:lsdException w:name="Medium Grid 2 Accent 3" w:uiPriority="72"/>
    <w:lsdException w:name="Medium Grid 3 Accent 3" w:uiPriority="73"/>
    <w:lsdException w:name="Dark List Accent 3" w:uiPriority="60"/>
    <w:lsdException w:name="Colorful Shading Accent 3" w:uiPriority="61"/>
    <w:lsdException w:name="Colorful List Accent 3" w:uiPriority="62"/>
    <w:lsdException w:name="Colorful Grid Accent 3" w:uiPriority="63"/>
    <w:lsdException w:name="Light Shading Accent 4" w:uiPriority="64"/>
    <w:lsdException w:name="Light List Accent 4" w:uiPriority="65"/>
    <w:lsdException w:name="Light Grid Accent 4" w:uiPriority="66"/>
    <w:lsdException w:name="Medium Shading 1 Accent 4" w:uiPriority="67"/>
    <w:lsdException w:name="Medium Shading 2 Accent 4" w:uiPriority="68"/>
    <w:lsdException w:name="Medium List 1 Accent 4" w:uiPriority="69"/>
    <w:lsdException w:name="Medium List 2 Accent 4" w:uiPriority="70"/>
    <w:lsdException w:name="Medium Grid 1 Accent 4" w:uiPriority="71"/>
    <w:lsdException w:name="Medium Grid 2 Accent 4" w:uiPriority="72"/>
    <w:lsdException w:name="Medium Grid 3 Accent 4" w:uiPriority="73"/>
    <w:lsdException w:name="Dark List Accent 4" w:uiPriority="60"/>
    <w:lsdException w:name="Colorful Shading Accent 4" w:uiPriority="61"/>
    <w:lsdException w:name="Colorful List Accent 4" w:uiPriority="62"/>
    <w:lsdException w:name="Colorful Grid Accent 4" w:uiPriority="63"/>
    <w:lsdException w:name="Light Shading Accent 5" w:uiPriority="64"/>
    <w:lsdException w:name="Light List Accent 5" w:uiPriority="65"/>
    <w:lsdException w:name="Light Grid Accent 5" w:uiPriority="66"/>
    <w:lsdException w:name="Medium Shading 1 Accent 5" w:uiPriority="67"/>
    <w:lsdException w:name="Medium Shading 2 Accent 5" w:uiPriority="68"/>
    <w:lsdException w:name="Medium List 1 Accent 5" w:uiPriority="69"/>
    <w:lsdException w:name="Medium List 2 Accent 5" w:uiPriority="70"/>
    <w:lsdException w:name="Medium Grid 1 Accent 5" w:uiPriority="7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uiPriority="37"/>
    <w:lsdException w:name="Light Grid Accent 6" w:uiPriority="39" w:qFormat="1"/>
    <w:lsdException w:name="Medium Shading 1 Accent 6" w:uiPriority="41"/>
    <w:lsdException w:name="Medium Shading 2 Accent 6" w:uiPriority="42"/>
    <w:lsdException w:name="Medium List 1 Accent 6" w:uiPriority="43"/>
    <w:lsdException w:name="Medium List 2 Accent 6" w:uiPriority="44"/>
    <w:lsdException w:name="Medium Grid 1 Accent 6" w:uiPriority="45"/>
    <w:lsdException w:name="Medium Grid 2 Accent 6" w:uiPriority="40"/>
    <w:lsdException w:name="Medium Grid 3 Accent 6" w:uiPriority="46"/>
    <w:lsdException w:name="Dark List Accent 6" w:uiPriority="4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sz w:val="22"/>
      <w:lang w:eastAsia="fr-FR"/>
    </w:rPr>
  </w:style>
  <w:style w:type="paragraph" w:styleId="berschrift1">
    <w:name w:val="heading 1"/>
    <w:aliases w:val="1 Überschrift 2"/>
    <w:basedOn w:val="Standard"/>
    <w:next w:val="Standard"/>
    <w:qFormat/>
    <w:pPr>
      <w:keepNext/>
      <w:outlineLvl w:val="0"/>
    </w:pPr>
    <w:rPr>
      <w:rFonts w:ascii="Helvetica" w:hAnsi="Helvetica"/>
      <w:b/>
    </w:rPr>
  </w:style>
  <w:style w:type="paragraph" w:styleId="berschrift2">
    <w:name w:val="heading 2"/>
    <w:aliases w:val="1 Überschrift 1"/>
    <w:basedOn w:val="Standard"/>
    <w:next w:val="Standard"/>
    <w:qFormat/>
    <w:pPr>
      <w:keepNext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outlineLvl w:val="2"/>
    </w:pPr>
    <w:rPr>
      <w:b/>
      <w:bCs/>
      <w:sz w:val="24"/>
      <w:u w:val="single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pBdr>
        <w:bottom w:val="single" w:sz="4" w:space="1" w:color="auto"/>
      </w:pBdr>
      <w:outlineLvl w:val="3"/>
    </w:pPr>
    <w:rPr>
      <w:b/>
      <w:bCs/>
      <w:lang w:val="fr-CH"/>
    </w:rPr>
  </w:style>
  <w:style w:type="paragraph" w:styleId="berschrift5">
    <w:name w:val="heading 5"/>
    <w:basedOn w:val="Standard"/>
    <w:next w:val="Standard"/>
    <w:qFormat/>
    <w:pPr>
      <w:keepNext/>
      <w:numPr>
        <w:ilvl w:val="4"/>
        <w:numId w:val="1"/>
      </w:numPr>
      <w:outlineLvl w:val="4"/>
    </w:pPr>
    <w:rPr>
      <w:rFonts w:ascii="Helvetica" w:hAnsi="Helvetica"/>
      <w:smallCaps/>
      <w:sz w:val="28"/>
    </w:rPr>
  </w:style>
  <w:style w:type="paragraph" w:styleId="berschrift6">
    <w:name w:val="heading 6"/>
    <w:basedOn w:val="Standard"/>
    <w:next w:val="Standard"/>
    <w:qFormat/>
    <w:pPr>
      <w:keepNext/>
      <w:numPr>
        <w:ilvl w:val="5"/>
        <w:numId w:val="1"/>
      </w:numPr>
      <w:jc w:val="center"/>
      <w:outlineLvl w:val="5"/>
    </w:pPr>
    <w:rPr>
      <w:sz w:val="52"/>
    </w:rPr>
  </w:style>
  <w:style w:type="paragraph" w:styleId="berschrift7">
    <w:name w:val="heading 7"/>
    <w:basedOn w:val="Standard"/>
    <w:next w:val="Standard"/>
    <w:qFormat/>
    <w:pPr>
      <w:keepNext/>
      <w:numPr>
        <w:ilvl w:val="6"/>
        <w:numId w:val="1"/>
      </w:numPr>
      <w:jc w:val="center"/>
      <w:outlineLvl w:val="6"/>
    </w:pPr>
    <w:rPr>
      <w:b/>
      <w:bCs/>
      <w:color w:val="000000"/>
      <w:sz w:val="20"/>
    </w:rPr>
  </w:style>
  <w:style w:type="paragraph" w:styleId="berschrift8">
    <w:name w:val="heading 8"/>
    <w:basedOn w:val="Standard"/>
    <w:next w:val="Standard"/>
    <w:qFormat/>
    <w:pPr>
      <w:keepNext/>
      <w:numPr>
        <w:ilvl w:val="7"/>
        <w:numId w:val="1"/>
      </w:numPr>
      <w:outlineLvl w:val="7"/>
    </w:pPr>
    <w:rPr>
      <w:b/>
      <w:bCs/>
      <w:color w:val="000000"/>
      <w:sz w:val="20"/>
    </w:rPr>
  </w:style>
  <w:style w:type="paragraph" w:styleId="berschrift9">
    <w:name w:val="heading 9"/>
    <w:basedOn w:val="Standard"/>
    <w:next w:val="Standard"/>
    <w:qFormat/>
    <w:pPr>
      <w:keepNext/>
      <w:numPr>
        <w:ilvl w:val="8"/>
        <w:numId w:val="1"/>
      </w:numPr>
      <w:outlineLvl w:val="8"/>
    </w:pPr>
    <w:rPr>
      <w:b/>
      <w:b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link w:val="TextkrperZchn"/>
    <w:pPr>
      <w:autoSpaceDE w:val="0"/>
      <w:autoSpaceDN w:val="0"/>
      <w:adjustRightInd w:val="0"/>
    </w:pPr>
    <w:rPr>
      <w:rFonts w:cs="Arial"/>
      <w:sz w:val="20"/>
      <w:lang w:val="de-DE" w:eastAsia="de-DE"/>
    </w:rPr>
  </w:style>
  <w:style w:type="character" w:customStyle="1" w:styleId="TextkrperZchn">
    <w:name w:val="Textkörper Zchn"/>
    <w:link w:val="Textkrper"/>
    <w:rPr>
      <w:rFonts w:ascii="Arial" w:hAnsi="Arial" w:cs="Arial"/>
      <w:lang w:val="de-DE" w:eastAsia="de-DE" w:bidi="ar-SA"/>
    </w:rPr>
  </w:style>
  <w:style w:type="paragraph" w:customStyle="1" w:styleId="berschrift0">
    <w:name w:val="Überschrift 0"/>
    <w:basedOn w:val="Standard"/>
    <w:pPr>
      <w:spacing w:before="240" w:after="240" w:line="300" w:lineRule="auto"/>
    </w:pPr>
    <w:rPr>
      <w:b/>
      <w:sz w:val="32"/>
      <w:lang w:eastAsia="de-DE"/>
    </w:rPr>
  </w:style>
  <w:style w:type="paragraph" w:styleId="Textkrper2">
    <w:name w:val="Body Text 2"/>
    <w:basedOn w:val="Standard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</w:pPr>
    <w:rPr>
      <w:sz w:val="20"/>
    </w:rPr>
  </w:style>
  <w:style w:type="paragraph" w:styleId="Funotentext">
    <w:name w:val="footnote text"/>
    <w:basedOn w:val="Standard"/>
    <w:semiHidden/>
    <w:rPr>
      <w:rFonts w:ascii="Helvetica" w:hAnsi="Helvetica"/>
      <w:sz w:val="16"/>
    </w:rPr>
  </w:style>
  <w:style w:type="character" w:styleId="Funotenzeichen">
    <w:name w:val="footnote reference"/>
    <w:semiHidden/>
    <w:rPr>
      <w:vertAlign w:val="superscript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DE"/>
    </w:rPr>
  </w:style>
  <w:style w:type="paragraph" w:styleId="Verzeichnis1">
    <w:name w:val="toc 1"/>
    <w:basedOn w:val="Standard"/>
    <w:next w:val="Standard"/>
    <w:autoRedefine/>
    <w:uiPriority w:val="39"/>
    <w:pPr>
      <w:tabs>
        <w:tab w:val="left" w:pos="440"/>
        <w:tab w:val="right" w:leader="underscore" w:pos="9062"/>
      </w:tabs>
      <w:spacing w:before="240" w:after="120"/>
      <w:ind w:left="442" w:hanging="442"/>
    </w:pPr>
    <w:rPr>
      <w:b/>
      <w:bCs/>
    </w:rPr>
  </w:style>
  <w:style w:type="paragraph" w:styleId="Verzeichnis2">
    <w:name w:val="toc 2"/>
    <w:basedOn w:val="Standard"/>
    <w:next w:val="Standard"/>
    <w:autoRedefine/>
    <w:uiPriority w:val="39"/>
    <w:pPr>
      <w:tabs>
        <w:tab w:val="left" w:pos="880"/>
        <w:tab w:val="right" w:leader="underscore" w:pos="9062"/>
      </w:tabs>
      <w:spacing w:before="120"/>
      <w:ind w:left="845" w:hanging="624"/>
    </w:pPr>
    <w:rPr>
      <w:i/>
      <w:iCs/>
    </w:rPr>
  </w:style>
  <w:style w:type="paragraph" w:styleId="Verzeichnis3">
    <w:name w:val="toc 3"/>
    <w:basedOn w:val="Standard"/>
    <w:next w:val="Standard"/>
    <w:autoRedefine/>
    <w:uiPriority w:val="39"/>
    <w:pPr>
      <w:ind w:left="440"/>
    </w:pPr>
    <w:rPr>
      <w:sz w:val="20"/>
    </w:rPr>
  </w:style>
  <w:style w:type="paragraph" w:styleId="Verzeichnis4">
    <w:name w:val="toc 4"/>
    <w:basedOn w:val="Standard"/>
    <w:next w:val="Standard"/>
    <w:autoRedefine/>
    <w:semiHidden/>
    <w:pPr>
      <w:ind w:left="660"/>
    </w:pPr>
    <w:rPr>
      <w:rFonts w:ascii="Times New Roman" w:hAnsi="Times New Roman"/>
      <w:sz w:val="20"/>
    </w:rPr>
  </w:style>
  <w:style w:type="paragraph" w:styleId="Verzeichnis5">
    <w:name w:val="toc 5"/>
    <w:basedOn w:val="Standard"/>
    <w:next w:val="Standard"/>
    <w:autoRedefine/>
    <w:semiHidden/>
    <w:pPr>
      <w:ind w:left="880"/>
    </w:pPr>
    <w:rPr>
      <w:rFonts w:ascii="Times New Roman" w:hAnsi="Times New Roman"/>
      <w:sz w:val="20"/>
    </w:rPr>
  </w:style>
  <w:style w:type="paragraph" w:styleId="Verzeichnis6">
    <w:name w:val="toc 6"/>
    <w:basedOn w:val="Standard"/>
    <w:next w:val="Standard"/>
    <w:autoRedefine/>
    <w:semiHidden/>
    <w:pPr>
      <w:ind w:left="1100"/>
    </w:pPr>
    <w:rPr>
      <w:rFonts w:ascii="Times New Roman" w:hAnsi="Times New Roman"/>
      <w:sz w:val="20"/>
    </w:rPr>
  </w:style>
  <w:style w:type="paragraph" w:styleId="Verzeichnis7">
    <w:name w:val="toc 7"/>
    <w:basedOn w:val="Standard"/>
    <w:next w:val="Standard"/>
    <w:autoRedefine/>
    <w:semiHidden/>
    <w:pPr>
      <w:ind w:left="1320"/>
    </w:pPr>
    <w:rPr>
      <w:rFonts w:ascii="Times New Roman" w:hAnsi="Times New Roman"/>
      <w:sz w:val="20"/>
    </w:rPr>
  </w:style>
  <w:style w:type="paragraph" w:styleId="Verzeichnis8">
    <w:name w:val="toc 8"/>
    <w:basedOn w:val="Standard"/>
    <w:next w:val="Standard"/>
    <w:autoRedefine/>
    <w:semiHidden/>
    <w:pPr>
      <w:ind w:left="1540"/>
    </w:pPr>
    <w:rPr>
      <w:rFonts w:ascii="Times New Roman" w:hAnsi="Times New Roman"/>
      <w:sz w:val="20"/>
    </w:rPr>
  </w:style>
  <w:style w:type="paragraph" w:styleId="Verzeichnis9">
    <w:name w:val="toc 9"/>
    <w:basedOn w:val="Standard"/>
    <w:next w:val="Standard"/>
    <w:autoRedefine/>
    <w:semiHidden/>
    <w:pPr>
      <w:ind w:left="1760"/>
    </w:pPr>
    <w:rPr>
      <w:rFonts w:ascii="Times New Roman" w:hAnsi="Times New Roman"/>
      <w:sz w:val="20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Textkrper3">
    <w:name w:val="Body Text 3"/>
    <w:basedOn w:val="Standard"/>
    <w:pPr>
      <w:autoSpaceDE w:val="0"/>
      <w:autoSpaceDN w:val="0"/>
      <w:adjustRightInd w:val="0"/>
      <w:jc w:val="center"/>
    </w:pPr>
    <w:rPr>
      <w:rFonts w:cs="Arial"/>
      <w:color w:val="000000"/>
      <w:sz w:val="24"/>
      <w:szCs w:val="48"/>
    </w:rPr>
  </w:style>
  <w:style w:type="character" w:styleId="BesuchterLink">
    <w:name w:val="FollowedHyperlink"/>
    <w:rPr>
      <w:color w:val="800080"/>
      <w:u w:val="single"/>
    </w:rPr>
  </w:style>
  <w:style w:type="character" w:customStyle="1" w:styleId="MTEquationSection">
    <w:name w:val="MTEquationSection"/>
    <w:rPr>
      <w:vanish/>
      <w:color w:val="FF0000"/>
      <w:lang w:val="de-CH"/>
    </w:rPr>
  </w:style>
  <w:style w:type="paragraph" w:styleId="Titel">
    <w:name w:val="Title"/>
    <w:basedOn w:val="BFAberschriftEbene1"/>
    <w:qFormat/>
  </w:style>
  <w:style w:type="character" w:customStyle="1" w:styleId="KopfzeileZchn">
    <w:name w:val="Kopfzeile Zchn"/>
    <w:link w:val="Kopfzeile"/>
    <w:uiPriority w:val="99"/>
    <w:locked/>
    <w:rPr>
      <w:rFonts w:ascii="Arial" w:hAnsi="Arial"/>
      <w:sz w:val="22"/>
      <w:lang w:val="de-CH" w:eastAsia="fr-FR" w:bidi="ar-SA"/>
    </w:rPr>
  </w:style>
  <w:style w:type="paragraph" w:customStyle="1" w:styleId="MMTopic2">
    <w:name w:val="MM Topic 2"/>
    <w:basedOn w:val="berschrift2"/>
    <w:pPr>
      <w:tabs>
        <w:tab w:val="num" w:pos="667"/>
      </w:tabs>
      <w:spacing w:before="240" w:after="60"/>
      <w:ind w:left="667" w:hanging="567"/>
    </w:pPr>
    <w:rPr>
      <w:rFonts w:cs="Arial"/>
      <w:i/>
      <w:iCs/>
      <w:sz w:val="28"/>
      <w:szCs w:val="28"/>
      <w:lang w:val="de-DE" w:eastAsia="de-DE"/>
    </w:rPr>
  </w:style>
  <w:style w:type="paragraph" w:customStyle="1" w:styleId="BFAberschriftEbene1">
    <w:name w:val="BFA Überschrift Ebene 1"/>
    <w:basedOn w:val="Standard"/>
    <w:next w:val="BFAText"/>
    <w:autoRedefine/>
    <w:pPr>
      <w:numPr>
        <w:numId w:val="39"/>
      </w:numPr>
      <w:spacing w:before="360" w:after="120"/>
      <w:ind w:left="284" w:hanging="284"/>
      <w:outlineLvl w:val="0"/>
    </w:pPr>
    <w:rPr>
      <w:b/>
      <w:sz w:val="24"/>
      <w:szCs w:val="24"/>
      <w:lang w:val="it-IT" w:eastAsia="de-DE"/>
    </w:rPr>
  </w:style>
  <w:style w:type="paragraph" w:customStyle="1" w:styleId="BFAText">
    <w:name w:val="BFA Text"/>
    <w:basedOn w:val="Standard"/>
    <w:link w:val="BFATextZchn"/>
    <w:autoRedefine/>
    <w:pPr>
      <w:tabs>
        <w:tab w:val="left" w:pos="4320"/>
      </w:tabs>
      <w:jc w:val="both"/>
    </w:pPr>
    <w:rPr>
      <w:i/>
      <w:sz w:val="20"/>
      <w:lang w:val="it-IT" w:eastAsia="de-DE"/>
    </w:rPr>
  </w:style>
  <w:style w:type="character" w:customStyle="1" w:styleId="BFATextZchn">
    <w:name w:val="BFA Text Zchn"/>
    <w:link w:val="BFAText"/>
    <w:rPr>
      <w:rFonts w:ascii="Arial" w:hAnsi="Arial"/>
      <w:i/>
      <w:lang w:val="it-IT"/>
    </w:rPr>
  </w:style>
  <w:style w:type="paragraph" w:styleId="Umschlagabsenderadresse">
    <w:name w:val="envelope return"/>
    <w:basedOn w:val="Standard"/>
    <w:rPr>
      <w:rFonts w:cs="Arial"/>
      <w:sz w:val="20"/>
    </w:rPr>
  </w:style>
  <w:style w:type="paragraph" w:customStyle="1" w:styleId="BFAberschriftEbene2">
    <w:name w:val="BFA Überschrift Ebene 2"/>
    <w:basedOn w:val="Standard"/>
    <w:next w:val="BFAText"/>
    <w:autoRedefine/>
    <w:pPr>
      <w:spacing w:before="480" w:line="360" w:lineRule="auto"/>
      <w:outlineLvl w:val="1"/>
    </w:pPr>
    <w:rPr>
      <w:b/>
      <w:bCs/>
      <w:color w:val="000000"/>
      <w:sz w:val="24"/>
      <w:szCs w:val="24"/>
      <w:lang w:eastAsia="de-DE"/>
    </w:rPr>
  </w:style>
  <w:style w:type="paragraph" w:customStyle="1" w:styleId="BFATextfett">
    <w:name w:val="BFA Text fett"/>
    <w:basedOn w:val="BFAText"/>
    <w:next w:val="BFAText"/>
    <w:link w:val="BFATextfettZchn"/>
    <w:autoRedefine/>
    <w:rPr>
      <w:b/>
    </w:rPr>
  </w:style>
  <w:style w:type="character" w:customStyle="1" w:styleId="BFATextfettZchn">
    <w:name w:val="BFA Text fett Zchn"/>
    <w:link w:val="BFATextfett"/>
    <w:rPr>
      <w:rFonts w:ascii="Arial" w:hAnsi="Arial"/>
      <w:b/>
      <w:i/>
      <w:color w:val="008080"/>
      <w:lang w:val="de-CH" w:eastAsia="fr-FR" w:bidi="ar-SA"/>
    </w:rPr>
  </w:style>
  <w:style w:type="paragraph" w:customStyle="1" w:styleId="BFAberschrift1">
    <w:name w:val="BFA Überschrift 1"/>
    <w:basedOn w:val="BFAberschriftEbene1"/>
    <w:next w:val="BFAText"/>
    <w:autoRedefine/>
  </w:style>
  <w:style w:type="character" w:customStyle="1" w:styleId="FuzeileZchn">
    <w:name w:val="Fußzeile Zchn"/>
    <w:link w:val="Fuzeile"/>
    <w:uiPriority w:val="99"/>
    <w:rPr>
      <w:rFonts w:ascii="Arial" w:hAnsi="Arial"/>
      <w:sz w:val="22"/>
      <w:lang w:eastAsia="fr-FR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Endnotentext">
    <w:name w:val="endnote text"/>
    <w:basedOn w:val="Standard"/>
    <w:semiHidden/>
    <w:rPr>
      <w:sz w:val="20"/>
    </w:rPr>
  </w:style>
  <w:style w:type="character" w:styleId="Endnotenzeichen">
    <w:name w:val="endnote reference"/>
    <w:semiHidden/>
    <w:rPr>
      <w:vertAlign w:val="superscript"/>
    </w:r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semiHidden/>
    <w:rPr>
      <w:sz w:val="20"/>
    </w:rPr>
  </w:style>
  <w:style w:type="paragraph" w:styleId="Kommentarthema">
    <w:name w:val="annotation subject"/>
    <w:basedOn w:val="Kommentartext"/>
    <w:next w:val="Kommentartext"/>
    <w:semiHidden/>
    <w:rPr>
      <w:b/>
      <w:bCs/>
    </w:rPr>
  </w:style>
  <w:style w:type="paragraph" w:customStyle="1" w:styleId="BFAberschrift3">
    <w:name w:val="BFA Überschrift 3"/>
    <w:basedOn w:val="BFAText"/>
    <w:next w:val="BFAText"/>
    <w:autoRedefine/>
    <w:pPr>
      <w:spacing w:before="360"/>
    </w:pPr>
    <w:rPr>
      <w:b/>
      <w:bCs/>
      <w:iCs/>
      <w:color w:val="000000"/>
    </w:rPr>
  </w:style>
  <w:style w:type="paragraph" w:styleId="Beschriftung">
    <w:name w:val="caption"/>
    <w:basedOn w:val="Standard"/>
    <w:next w:val="Standard"/>
    <w:qFormat/>
    <w:rPr>
      <w:b/>
      <w:bCs/>
    </w:rPr>
  </w:style>
  <w:style w:type="paragraph" w:styleId="Abbildungsverzeichnis">
    <w:name w:val="table of figures"/>
    <w:basedOn w:val="Standard"/>
    <w:next w:val="BFAText"/>
    <w:autoRedefine/>
    <w:semiHidden/>
    <w:pPr>
      <w:spacing w:line="360" w:lineRule="auto"/>
    </w:pPr>
    <w:rPr>
      <w:i/>
      <w:iCs/>
    </w:rPr>
  </w:style>
  <w:style w:type="paragraph" w:customStyle="1" w:styleId="BFAAnhangberschrift1Ebene1">
    <w:name w:val="BFA Anhang Überschrift 1 Ebene1"/>
    <w:basedOn w:val="BFAberschriftEbene1"/>
    <w:autoRedefine/>
    <w:pPr>
      <w:numPr>
        <w:numId w:val="1"/>
      </w:numPr>
    </w:pPr>
  </w:style>
  <w:style w:type="paragraph" w:customStyle="1" w:styleId="BFAAnhangberschrift11Ebene2">
    <w:name w:val="BFA Anhang Überschrift 1.1 Ebene 2"/>
    <w:basedOn w:val="BFAberschriftEbene2"/>
    <w:autoRedefine/>
    <w:pPr>
      <w:tabs>
        <w:tab w:val="num" w:pos="567"/>
      </w:tabs>
      <w:ind w:left="567" w:hanging="567"/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table" w:styleId="TabelleListe6">
    <w:name w:val="Table List 6"/>
    <w:basedOn w:val="NormaleTabell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paragraph" w:customStyle="1" w:styleId="111BFAberschriftEbene3">
    <w:name w:val="1.11 BFA Überschrift Ebene 3"/>
    <w:basedOn w:val="Standard"/>
    <w:pPr>
      <w:numPr>
        <w:ilvl w:val="2"/>
        <w:numId w:val="3"/>
      </w:numPr>
    </w:pPr>
  </w:style>
  <w:style w:type="paragraph" w:customStyle="1" w:styleId="BFAAufzhlung">
    <w:name w:val="BFA Aufzählung"/>
    <w:basedOn w:val="Standard"/>
    <w:pPr>
      <w:numPr>
        <w:numId w:val="2"/>
      </w:numPr>
    </w:pPr>
  </w:style>
  <w:style w:type="paragraph" w:customStyle="1" w:styleId="berschriftEbene2">
    <w:name w:val="Überschrift Ebene 2"/>
    <w:basedOn w:val="Standard"/>
    <w:pPr>
      <w:numPr>
        <w:ilvl w:val="1"/>
        <w:numId w:val="4"/>
      </w:numPr>
    </w:pPr>
  </w:style>
  <w:style w:type="paragraph" w:customStyle="1" w:styleId="berschriftEbene1">
    <w:name w:val="Überschrift Ebene 1"/>
    <w:basedOn w:val="Standard"/>
    <w:next w:val="Standard"/>
    <w:pPr>
      <w:numPr>
        <w:numId w:val="5"/>
      </w:numPr>
    </w:pPr>
    <w:rPr>
      <w:b/>
      <w:sz w:val="28"/>
      <w:szCs w:val="24"/>
      <w:lang w:val="de-DE" w:eastAsia="de-DE"/>
    </w:rPr>
  </w:style>
  <w:style w:type="paragraph" w:customStyle="1" w:styleId="berschrift111">
    <w:name w:val="Überschrift 1.11"/>
    <w:basedOn w:val="Standard"/>
    <w:pPr>
      <w:tabs>
        <w:tab w:val="num" w:pos="567"/>
      </w:tabs>
      <w:ind w:left="567" w:hanging="567"/>
    </w:pPr>
    <w:rPr>
      <w:szCs w:val="24"/>
      <w:lang w:val="de-DE" w:eastAsia="de-DE"/>
    </w:rPr>
  </w:style>
  <w:style w:type="paragraph" w:customStyle="1" w:styleId="berschriftEbene3">
    <w:name w:val="Überschrift Ebene 3"/>
    <w:basedOn w:val="Standard"/>
    <w:next w:val="Standard"/>
    <w:rPr>
      <w:b/>
      <w:szCs w:val="24"/>
      <w:lang w:val="de-DE" w:eastAsia="de-DE"/>
    </w:rPr>
  </w:style>
  <w:style w:type="paragraph" w:styleId="Listenabsatz">
    <w:name w:val="List Paragraph"/>
    <w:basedOn w:val="Standard"/>
    <w:uiPriority w:val="72"/>
    <w:pPr>
      <w:ind w:left="720"/>
      <w:contextualSpacing/>
    </w:pPr>
  </w:style>
  <w:style w:type="paragraph" w:styleId="berarbeitung">
    <w:name w:val="Revision"/>
    <w:hidden/>
    <w:uiPriority w:val="71"/>
    <w:semiHidden/>
    <w:rPr>
      <w:rFonts w:ascii="Arial" w:hAnsi="Arial"/>
      <w:sz w:val="22"/>
      <w:lang w:eastAsia="fr-FR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pPr>
      <w:keepLines/>
      <w:spacing w:before="240" w:line="259" w:lineRule="auto"/>
      <w:outlineLvl w:val="9"/>
    </w:pPr>
    <w:rPr>
      <w:rFonts w:ascii="Calibri Light" w:hAnsi="Calibri Light"/>
      <w:b w:val="0"/>
      <w:color w:val="2E74B5"/>
      <w:sz w:val="32"/>
      <w:szCs w:val="32"/>
      <w:lang w:eastAsia="de-CH"/>
    </w:rPr>
  </w:style>
  <w:style w:type="table" w:styleId="Gitternetztabelle1hellAkzent1">
    <w:name w:val="Grid Table 1 Light Accent 1"/>
    <w:basedOn w:val="NormaleTabelle"/>
    <w:uiPriority w:val="46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Pr>
      <w:color w:val="605E5C"/>
      <w:shd w:val="clear" w:color="auto" w:fill="E1DFDD"/>
    </w:rPr>
  </w:style>
  <w:style w:type="character" w:customStyle="1" w:styleId="st">
    <w:name w:val="st"/>
    <w:basedOn w:val="Absatz-Standardschriftart"/>
  </w:style>
  <w:style w:type="character" w:styleId="Hervorhebung">
    <w:name w:val="Emphasis"/>
    <w:basedOn w:val="Absatz-Standardschriftar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04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94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09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25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48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27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06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63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3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83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92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16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5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485957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FF"/>
            <w:bottom w:val="none" w:sz="0" w:space="0" w:color="auto"/>
            <w:right w:val="none" w:sz="0" w:space="0" w:color="auto"/>
          </w:divBdr>
          <w:divsChild>
            <w:div w:id="1023286038">
              <w:blockQuote w:val="1"/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FF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10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6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1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37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1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47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33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48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30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34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90317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9617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4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79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1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46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24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10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20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54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7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44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41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0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iuffp.swiss/formazione-professionale-di-base-applicazione-0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edk-ost.ch/die-edk-ost/amtsleiterkonferenz" TargetMode="External"/><Relationship Id="rId2" Type="http://schemas.openxmlformats.org/officeDocument/2006/relationships/hyperlink" Target="http://www.nwedk.ch/willkommen" TargetMode="External"/><Relationship Id="rId1" Type="http://schemas.openxmlformats.org/officeDocument/2006/relationships/hyperlink" Target="https://www.ciip.ch/La-CIIP/Organisation/Conferences-de-chefs-de-service/CLPO" TargetMode="External"/><Relationship Id="rId4" Type="http://schemas.openxmlformats.org/officeDocument/2006/relationships/hyperlink" Target="https://bildung-z.ch/node/226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cvo\Anwendungsdaten\Microsoft\Vorlagen\Vorlage_EHB%20Bericht_Taetigkeitsanalyse.dot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D0094C528DB3448B5426C014C460FC1" ma:contentTypeVersion="0" ma:contentTypeDescription="Ein neues Dokument erstellen." ma:contentTypeScope="" ma:versionID="99c537892240af7121b19e6b79ed1f9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ac16478c9ab6142f63fc83a709f61b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9B17A6F-82B2-469E-BA6D-2A434BBAC3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7067102-2621-4BC4-A318-2CE2ACF788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F4362D-E80B-4D6D-8570-00197A61886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5E756C5-2809-4324-8DED-1FB554CFE34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Vorlage_EHB Bericht_Taetigkeitsanalyse.dot</Template>
  <TotalTime>0</TotalTime>
  <Pages>11</Pages>
  <Words>2839</Words>
  <Characters>18363</Characters>
  <Application>Microsoft Office Word</Application>
  <DocSecurity>0</DocSecurity>
  <Lines>153</Lines>
  <Paragraphs>42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EHB Bericht</vt:lpstr>
      <vt:lpstr>EHB Bericht</vt:lpstr>
      <vt:lpstr>EHB Bericht</vt:lpstr>
    </vt:vector>
  </TitlesOfParts>
  <Company>EHB</Company>
  <LinksUpToDate>false</LinksUpToDate>
  <CharactersWithSpaces>21160</CharactersWithSpaces>
  <SharedDoc>false</SharedDoc>
  <HLinks>
    <vt:vector size="66" baseType="variant">
      <vt:variant>
        <vt:i4>1179696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_Toc494957520</vt:lpwstr>
      </vt:variant>
      <vt:variant>
        <vt:i4>1114160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_Toc494957519</vt:lpwstr>
      </vt:variant>
      <vt:variant>
        <vt:i4>1114160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_Toc494957518</vt:lpwstr>
      </vt:variant>
      <vt:variant>
        <vt:i4>1114160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_Toc494957517</vt:lpwstr>
      </vt:variant>
      <vt:variant>
        <vt:i4>1114160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_Toc494957516</vt:lpwstr>
      </vt:variant>
      <vt:variant>
        <vt:i4>1114160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_Toc494957515</vt:lpwstr>
      </vt:variant>
      <vt:variant>
        <vt:i4>1114160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_Toc494957514</vt:lpwstr>
      </vt:variant>
      <vt:variant>
        <vt:i4>1114160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_Toc494957513</vt:lpwstr>
      </vt:variant>
      <vt:variant>
        <vt:i4>1114160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_Toc494957512</vt:lpwstr>
      </vt:variant>
      <vt:variant>
        <vt:i4>1114160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_Toc494957511</vt:lpwstr>
      </vt:variant>
      <vt:variant>
        <vt:i4>1114160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_Toc494957510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EHB Bericht</dc:title>
  <dc:subject/>
  <dc:creator>Chantal Volz</dc:creator>
  <cp:keywords/>
  <cp:lastModifiedBy>Wyss Philippe SBFI</cp:lastModifiedBy>
  <cp:revision>4</cp:revision>
  <cp:lastPrinted>2020-07-09T17:19:00Z</cp:lastPrinted>
  <dcterms:created xsi:type="dcterms:W3CDTF">2023-08-14T12:27:00Z</dcterms:created>
  <dcterms:modified xsi:type="dcterms:W3CDTF">2023-08-23T12:52:00Z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0x0101001D0094C528DB3448B5426C014C460FC1</vt:lpwstr>
  </property>
  <property fmtid="{D5CDD505-2E9C-101B-9397-08002B2CF9AE}" pid="3" name="IsMyDocuments">
    <vt:bool>true</vt:bool>
  </property>
  <property fmtid="{D5CDD505-2E9C-101B-9397-08002B2CF9AE}" pid="4" name="_NewReviewCycle">
    <vt:lpwstr/>
  </property>
</Properties>
</file>