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1FD" w:rsidRDefault="00232B90">
      <w:pPr>
        <w:jc w:val="both"/>
        <w:rPr>
          <w:b/>
          <w:sz w:val="28"/>
          <w:lang w:val="it-IT"/>
        </w:rPr>
      </w:pPr>
      <w:r>
        <w:rPr>
          <w:b/>
          <w:sz w:val="28"/>
          <w:lang w:val="it-IT"/>
        </w:rPr>
        <w:t>Istruzioni per l’elaborazione della panoramica delle offerte riguardanti l’acquisizione e il mantenimento delle competenze di base degli adulti</w:t>
      </w:r>
    </w:p>
    <w:p w:rsidR="000C41FD" w:rsidRDefault="000C41FD">
      <w:pPr>
        <w:jc w:val="both"/>
        <w:rPr>
          <w:b/>
          <w:sz w:val="28"/>
          <w:lang w:val="it-IT"/>
        </w:rPr>
      </w:pPr>
    </w:p>
    <w:p w:rsidR="000C41FD" w:rsidRDefault="000C41FD">
      <w:pPr>
        <w:jc w:val="both"/>
        <w:rPr>
          <w:b/>
          <w:sz w:val="28"/>
          <w:lang w:val="it-IT"/>
        </w:rPr>
      </w:pPr>
    </w:p>
    <w:p w:rsidR="000C41FD" w:rsidRDefault="00232B90">
      <w:pPr>
        <w:pStyle w:val="Inhaltsverzeichnisberschrift"/>
        <w:rPr>
          <w:lang w:val="it-IT"/>
        </w:rPr>
      </w:pPr>
      <w:r>
        <w:rPr>
          <w:lang w:val="it-IT"/>
        </w:rPr>
        <w:t>Contenuto</w:t>
      </w:r>
    </w:p>
    <w:bookmarkStart w:id="0" w:name="_GoBack"/>
    <w:bookmarkEnd w:id="0"/>
    <w:p w:rsidR="00232B90" w:rsidRDefault="00232B90">
      <w:pPr>
        <w:pStyle w:val="Verzeichnis1"/>
        <w:tabs>
          <w:tab w:val="right" w:leader="dot" w:pos="9063"/>
        </w:tabs>
        <w:rPr>
          <w:rFonts w:asciiTheme="minorHAnsi" w:eastAsiaTheme="minorEastAsia" w:hAnsiTheme="minorHAnsi" w:cstheme="minorBidi"/>
          <w:noProof/>
          <w:lang w:eastAsia="de-CH"/>
        </w:rPr>
      </w:pPr>
      <w:r>
        <w:rPr>
          <w:lang w:val="it-IT"/>
        </w:rPr>
        <w:fldChar w:fldCharType="begin"/>
      </w:r>
      <w:r>
        <w:rPr>
          <w:lang w:val="it-IT"/>
        </w:rPr>
        <w:instrText xml:space="preserve"> TOC \o "1-3" \</w:instrText>
      </w:r>
      <w:r>
        <w:rPr>
          <w:highlight w:val="yellow"/>
          <w:lang w:val="it-IT"/>
        </w:rPr>
        <w:instrText>h \z</w:instrText>
      </w:r>
      <w:r>
        <w:rPr>
          <w:lang w:val="it-IT"/>
        </w:rPr>
        <w:instrText xml:space="preserve"> \u </w:instrText>
      </w:r>
      <w:r>
        <w:rPr>
          <w:lang w:val="it-IT"/>
        </w:rPr>
        <w:fldChar w:fldCharType="separate"/>
      </w:r>
      <w:hyperlink w:anchor="_Toc487702829" w:history="1">
        <w:r w:rsidRPr="006B326E">
          <w:rPr>
            <w:rStyle w:val="Hyperlink"/>
            <w:noProof/>
            <w:lang w:val="it-IT"/>
          </w:rPr>
          <w:t>Informazioni per i Cantoni</w:t>
        </w:r>
        <w:r>
          <w:rPr>
            <w:noProof/>
            <w:webHidden/>
          </w:rPr>
          <w:tab/>
        </w:r>
        <w:r>
          <w:rPr>
            <w:noProof/>
            <w:webHidden/>
          </w:rPr>
          <w:fldChar w:fldCharType="begin"/>
        </w:r>
        <w:r>
          <w:rPr>
            <w:noProof/>
            <w:webHidden/>
          </w:rPr>
          <w:instrText xml:space="preserve"> PAGEREF _Toc487702829 \h </w:instrText>
        </w:r>
        <w:r>
          <w:rPr>
            <w:noProof/>
            <w:webHidden/>
          </w:rPr>
        </w:r>
        <w:r>
          <w:rPr>
            <w:noProof/>
            <w:webHidden/>
          </w:rPr>
          <w:fldChar w:fldCharType="separate"/>
        </w:r>
        <w:r>
          <w:rPr>
            <w:noProof/>
            <w:webHidden/>
          </w:rPr>
          <w:t>1</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0" w:history="1">
        <w:r w:rsidRPr="006B326E">
          <w:rPr>
            <w:rStyle w:val="Hyperlink"/>
            <w:noProof/>
            <w:lang w:val="it-IT"/>
          </w:rPr>
          <w:t>Obiettivo</w:t>
        </w:r>
        <w:r>
          <w:rPr>
            <w:noProof/>
            <w:webHidden/>
          </w:rPr>
          <w:tab/>
        </w:r>
        <w:r>
          <w:rPr>
            <w:noProof/>
            <w:webHidden/>
          </w:rPr>
          <w:fldChar w:fldCharType="begin"/>
        </w:r>
        <w:r>
          <w:rPr>
            <w:noProof/>
            <w:webHidden/>
          </w:rPr>
          <w:instrText xml:space="preserve"> PAGEREF _Toc487702830 \h </w:instrText>
        </w:r>
        <w:r>
          <w:rPr>
            <w:noProof/>
            <w:webHidden/>
          </w:rPr>
        </w:r>
        <w:r>
          <w:rPr>
            <w:noProof/>
            <w:webHidden/>
          </w:rPr>
          <w:fldChar w:fldCharType="separate"/>
        </w:r>
        <w:r>
          <w:rPr>
            <w:noProof/>
            <w:webHidden/>
          </w:rPr>
          <w:t>1</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1" w:history="1">
        <w:r w:rsidRPr="006B326E">
          <w:rPr>
            <w:rStyle w:val="Hyperlink"/>
            <w:noProof/>
            <w:lang w:val="it-IT"/>
          </w:rPr>
          <w:t>Periodo</w:t>
        </w:r>
        <w:r>
          <w:rPr>
            <w:noProof/>
            <w:webHidden/>
          </w:rPr>
          <w:tab/>
        </w:r>
        <w:r>
          <w:rPr>
            <w:noProof/>
            <w:webHidden/>
          </w:rPr>
          <w:fldChar w:fldCharType="begin"/>
        </w:r>
        <w:r>
          <w:rPr>
            <w:noProof/>
            <w:webHidden/>
          </w:rPr>
          <w:instrText xml:space="preserve"> PAGEREF _Toc487702831 \h </w:instrText>
        </w:r>
        <w:r>
          <w:rPr>
            <w:noProof/>
            <w:webHidden/>
          </w:rPr>
        </w:r>
        <w:r>
          <w:rPr>
            <w:noProof/>
            <w:webHidden/>
          </w:rPr>
          <w:fldChar w:fldCharType="separate"/>
        </w:r>
        <w:r>
          <w:rPr>
            <w:noProof/>
            <w:webHidden/>
          </w:rPr>
          <w:t>1</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2" w:history="1">
        <w:r w:rsidRPr="006B326E">
          <w:rPr>
            <w:rStyle w:val="Hyperlink"/>
            <w:noProof/>
            <w:lang w:val="it-IT"/>
          </w:rPr>
          <w:t>Strumenti</w:t>
        </w:r>
        <w:r>
          <w:rPr>
            <w:noProof/>
            <w:webHidden/>
          </w:rPr>
          <w:tab/>
        </w:r>
        <w:r>
          <w:rPr>
            <w:noProof/>
            <w:webHidden/>
          </w:rPr>
          <w:fldChar w:fldCharType="begin"/>
        </w:r>
        <w:r>
          <w:rPr>
            <w:noProof/>
            <w:webHidden/>
          </w:rPr>
          <w:instrText xml:space="preserve"> PAGEREF _Toc487702832 \h </w:instrText>
        </w:r>
        <w:r>
          <w:rPr>
            <w:noProof/>
            <w:webHidden/>
          </w:rPr>
        </w:r>
        <w:r>
          <w:rPr>
            <w:noProof/>
            <w:webHidden/>
          </w:rPr>
          <w:fldChar w:fldCharType="separate"/>
        </w:r>
        <w:r>
          <w:rPr>
            <w:noProof/>
            <w:webHidden/>
          </w:rPr>
          <w:t>2</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3" w:history="1">
        <w:r w:rsidRPr="006B326E">
          <w:rPr>
            <w:rStyle w:val="Hyperlink"/>
            <w:noProof/>
            <w:lang w:val="it-IT"/>
          </w:rPr>
          <w:t>Glossario</w:t>
        </w:r>
        <w:r>
          <w:rPr>
            <w:noProof/>
            <w:webHidden/>
          </w:rPr>
          <w:tab/>
        </w:r>
        <w:r>
          <w:rPr>
            <w:noProof/>
            <w:webHidden/>
          </w:rPr>
          <w:fldChar w:fldCharType="begin"/>
        </w:r>
        <w:r>
          <w:rPr>
            <w:noProof/>
            <w:webHidden/>
          </w:rPr>
          <w:instrText xml:space="preserve"> PAGEREF _Toc487702833 \h </w:instrText>
        </w:r>
        <w:r>
          <w:rPr>
            <w:noProof/>
            <w:webHidden/>
          </w:rPr>
        </w:r>
        <w:r>
          <w:rPr>
            <w:noProof/>
            <w:webHidden/>
          </w:rPr>
          <w:fldChar w:fldCharType="separate"/>
        </w:r>
        <w:r>
          <w:rPr>
            <w:noProof/>
            <w:webHidden/>
          </w:rPr>
          <w:t>2</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4" w:history="1">
        <w:r w:rsidRPr="006B326E">
          <w:rPr>
            <w:rStyle w:val="Hyperlink"/>
            <w:noProof/>
            <w:lang w:val="it-IT"/>
          </w:rPr>
          <w:t>Procedura</w:t>
        </w:r>
        <w:r>
          <w:rPr>
            <w:noProof/>
            <w:webHidden/>
          </w:rPr>
          <w:tab/>
        </w:r>
        <w:r>
          <w:rPr>
            <w:noProof/>
            <w:webHidden/>
          </w:rPr>
          <w:fldChar w:fldCharType="begin"/>
        </w:r>
        <w:r>
          <w:rPr>
            <w:noProof/>
            <w:webHidden/>
          </w:rPr>
          <w:instrText xml:space="preserve"> PAGEREF _Toc487702834 \h </w:instrText>
        </w:r>
        <w:r>
          <w:rPr>
            <w:noProof/>
            <w:webHidden/>
          </w:rPr>
        </w:r>
        <w:r>
          <w:rPr>
            <w:noProof/>
            <w:webHidden/>
          </w:rPr>
          <w:fldChar w:fldCharType="separate"/>
        </w:r>
        <w:r>
          <w:rPr>
            <w:noProof/>
            <w:webHidden/>
          </w:rPr>
          <w:t>3</w:t>
        </w:r>
        <w:r>
          <w:rPr>
            <w:noProof/>
            <w:webHidden/>
          </w:rPr>
          <w:fldChar w:fldCharType="end"/>
        </w:r>
      </w:hyperlink>
    </w:p>
    <w:p w:rsidR="00232B90" w:rsidRDefault="00232B90">
      <w:pPr>
        <w:pStyle w:val="Verzeichnis1"/>
        <w:tabs>
          <w:tab w:val="right" w:leader="dot" w:pos="9063"/>
        </w:tabs>
        <w:rPr>
          <w:rFonts w:asciiTheme="minorHAnsi" w:eastAsiaTheme="minorEastAsia" w:hAnsiTheme="minorHAnsi" w:cstheme="minorBidi"/>
          <w:noProof/>
          <w:lang w:eastAsia="de-CH"/>
        </w:rPr>
      </w:pPr>
      <w:hyperlink w:anchor="_Toc487702835" w:history="1">
        <w:r w:rsidRPr="006B326E">
          <w:rPr>
            <w:rStyle w:val="Hyperlink"/>
            <w:noProof/>
            <w:lang w:val="it-IT"/>
          </w:rPr>
          <w:t>Allegato</w:t>
        </w:r>
        <w:r>
          <w:rPr>
            <w:noProof/>
            <w:webHidden/>
          </w:rPr>
          <w:tab/>
        </w:r>
        <w:r>
          <w:rPr>
            <w:noProof/>
            <w:webHidden/>
          </w:rPr>
          <w:fldChar w:fldCharType="begin"/>
        </w:r>
        <w:r>
          <w:rPr>
            <w:noProof/>
            <w:webHidden/>
          </w:rPr>
          <w:instrText xml:space="preserve"> PAGEREF _Toc487702835 \h </w:instrText>
        </w:r>
        <w:r>
          <w:rPr>
            <w:noProof/>
            <w:webHidden/>
          </w:rPr>
        </w:r>
        <w:r>
          <w:rPr>
            <w:noProof/>
            <w:webHidden/>
          </w:rPr>
          <w:fldChar w:fldCharType="separate"/>
        </w:r>
        <w:r>
          <w:rPr>
            <w:noProof/>
            <w:webHidden/>
          </w:rPr>
          <w:t>4</w:t>
        </w:r>
        <w:r>
          <w:rPr>
            <w:noProof/>
            <w:webHidden/>
          </w:rPr>
          <w:fldChar w:fldCharType="end"/>
        </w:r>
      </w:hyperlink>
    </w:p>
    <w:p w:rsidR="000C41FD" w:rsidRDefault="00232B90">
      <w:pPr>
        <w:pBdr>
          <w:bottom w:val="single" w:sz="4" w:space="1" w:color="auto"/>
        </w:pBdr>
        <w:rPr>
          <w:lang w:val="it-IT"/>
        </w:rPr>
      </w:pPr>
      <w:r>
        <w:rPr>
          <w:b/>
          <w:bCs/>
          <w:lang w:val="it-IT"/>
        </w:rPr>
        <w:fldChar w:fldCharType="end"/>
      </w:r>
    </w:p>
    <w:p w:rsidR="000C41FD" w:rsidRDefault="00232B90">
      <w:pPr>
        <w:pStyle w:val="berschrift1"/>
        <w:rPr>
          <w:b w:val="0"/>
          <w:lang w:val="it-IT"/>
        </w:rPr>
      </w:pPr>
      <w:bookmarkStart w:id="1" w:name="_Toc487702829"/>
      <w:r>
        <w:rPr>
          <w:b w:val="0"/>
          <w:lang w:val="it-IT"/>
        </w:rPr>
        <w:t>Informazioni per i Cantoni</w:t>
      </w:r>
      <w:bookmarkEnd w:id="1"/>
      <w:r>
        <w:rPr>
          <w:b w:val="0"/>
          <w:lang w:val="it-IT"/>
        </w:rPr>
        <w:t> </w:t>
      </w:r>
    </w:p>
    <w:p w:rsidR="000C41FD" w:rsidRDefault="00232B90">
      <w:pPr>
        <w:jc w:val="both"/>
        <w:rPr>
          <w:lang w:val="it-IT"/>
        </w:rPr>
      </w:pPr>
      <w:r>
        <w:rPr>
          <w:lang w:val="it-IT"/>
        </w:rPr>
        <w:t>In caso di collaborazione tra più Cantoni (accordo di prestazione comune) deve essere elaborata una sola panoramica per tutto il territorio</w:t>
      </w:r>
      <w:r>
        <w:rPr>
          <w:lang w:val="it-IT"/>
        </w:rPr>
        <w:t xml:space="preserve"> interessato.</w:t>
      </w:r>
    </w:p>
    <w:p w:rsidR="000C41FD" w:rsidRDefault="00232B90">
      <w:pPr>
        <w:pStyle w:val="berschrift1"/>
        <w:rPr>
          <w:b w:val="0"/>
          <w:lang w:val="it-IT"/>
        </w:rPr>
      </w:pPr>
      <w:bookmarkStart w:id="2" w:name="_Toc487702830"/>
      <w:r>
        <w:rPr>
          <w:b w:val="0"/>
          <w:lang w:val="it-IT"/>
        </w:rPr>
        <w:t>Obiettivo</w:t>
      </w:r>
      <w:bookmarkEnd w:id="2"/>
    </w:p>
    <w:p w:rsidR="000C41FD" w:rsidRDefault="00232B90">
      <w:pPr>
        <w:jc w:val="both"/>
        <w:rPr>
          <w:lang w:val="it-IT"/>
        </w:rPr>
      </w:pPr>
      <w:r>
        <w:rPr>
          <w:lang w:val="it-IT"/>
        </w:rPr>
        <w:t xml:space="preserve">L’obiettivo della panoramica è ottenere un </w:t>
      </w:r>
      <w:r>
        <w:rPr>
          <w:b/>
          <w:lang w:val="it-IT"/>
        </w:rPr>
        <w:t>quadro complessivo</w:t>
      </w:r>
      <w:r>
        <w:rPr>
          <w:lang w:val="it-IT"/>
        </w:rPr>
        <w:t xml:space="preserve"> delle offerte nell’ambito delle competenze di base degli adulti. Per avere una panoramica più ampia possibile occorre inserire anche le offerte non finanziate nel quadro </w:t>
      </w:r>
      <w:r>
        <w:rPr>
          <w:lang w:val="it-IT"/>
        </w:rPr>
        <w:t xml:space="preserve">della LFCo (gratuite, sovvenzionate o a pagamento). Inoltre, i Cantoni dovranno basarsi su questo documento per identificare eventuali lacune e misure correttive e per la </w:t>
      </w:r>
      <w:r>
        <w:rPr>
          <w:b/>
          <w:lang w:val="it-IT"/>
        </w:rPr>
        <w:t>preparazione dei futuri programmi cantonali</w:t>
      </w:r>
      <w:r>
        <w:rPr>
          <w:lang w:val="it-IT"/>
        </w:rPr>
        <w:t xml:space="preserve">. </w:t>
      </w:r>
    </w:p>
    <w:p w:rsidR="000C41FD" w:rsidRDefault="000C41FD">
      <w:pPr>
        <w:jc w:val="both"/>
        <w:rPr>
          <w:lang w:val="it-IT"/>
        </w:rPr>
      </w:pPr>
    </w:p>
    <w:p w:rsidR="000C41FD" w:rsidRDefault="00232B90">
      <w:pPr>
        <w:jc w:val="both"/>
        <w:rPr>
          <w:lang w:val="it-IT"/>
        </w:rPr>
      </w:pPr>
      <w:r>
        <w:rPr>
          <w:lang w:val="it-IT"/>
        </w:rPr>
        <w:t>In quest’ottica, raccomandiamo di indi</w:t>
      </w:r>
      <w:r>
        <w:rPr>
          <w:lang w:val="it-IT"/>
        </w:rPr>
        <w:t>viduare innanzitutto gli operatori. Il delegato cantonale all’integrazione conosce bene le offerte riguardanti l’apprendimento della lingua ed è in grado di fornirvi un certo numero di informazioni che non sarà necessario richiedere agli operatori. Inoltre</w:t>
      </w:r>
      <w:r>
        <w:rPr>
          <w:lang w:val="it-IT"/>
        </w:rPr>
        <w:t>, il coordinatore cantonale CII può agevolare l’individuazione dei servizi cantonali competenti e svolgere questo compito al posto vostro. Vi consigliamo dunque vivamente di mettervi in contatto con queste persone.</w:t>
      </w:r>
    </w:p>
    <w:p w:rsidR="000C41FD" w:rsidRDefault="000C41FD">
      <w:pPr>
        <w:jc w:val="both"/>
        <w:rPr>
          <w:lang w:val="it-IT"/>
        </w:rPr>
      </w:pPr>
    </w:p>
    <w:p w:rsidR="000C41FD" w:rsidRDefault="00232B90">
      <w:pPr>
        <w:jc w:val="both"/>
        <w:rPr>
          <w:lang w:val="it-IT"/>
        </w:rPr>
      </w:pPr>
      <w:r>
        <w:rPr>
          <w:lang w:val="it-IT"/>
        </w:rPr>
        <w:t xml:space="preserve">In allegato troverete un elenco (non </w:t>
      </w:r>
      <w:r>
        <w:rPr>
          <w:lang w:val="it-IT"/>
        </w:rPr>
        <w:t>esaustivo) dei servizi da consultare e degli operatori.</w:t>
      </w:r>
    </w:p>
    <w:p w:rsidR="000C41FD" w:rsidRDefault="000C41FD">
      <w:pPr>
        <w:jc w:val="both"/>
        <w:rPr>
          <w:lang w:val="it-IT"/>
        </w:rPr>
      </w:pPr>
    </w:p>
    <w:p w:rsidR="000C41FD" w:rsidRDefault="00232B90">
      <w:pPr>
        <w:pStyle w:val="berschrift1"/>
        <w:rPr>
          <w:b w:val="0"/>
          <w:lang w:val="it-IT"/>
        </w:rPr>
      </w:pPr>
      <w:bookmarkStart w:id="3" w:name="_Toc487702831"/>
      <w:r>
        <w:rPr>
          <w:b w:val="0"/>
          <w:lang w:val="it-IT"/>
        </w:rPr>
        <w:t>Periodo</w:t>
      </w:r>
      <w:bookmarkEnd w:id="3"/>
    </w:p>
    <w:p w:rsidR="000C41FD" w:rsidRDefault="00232B90">
      <w:pPr>
        <w:numPr>
          <w:ilvl w:val="0"/>
          <w:numId w:val="13"/>
        </w:numPr>
        <w:jc w:val="both"/>
      </w:pPr>
      <w:r>
        <w:rPr>
          <w:lang w:val="it-IT"/>
        </w:rPr>
        <w:t xml:space="preserve">La panoramica deve riguardare </w:t>
      </w:r>
      <w:r>
        <w:rPr>
          <w:b/>
          <w:lang w:val="it-IT"/>
        </w:rPr>
        <w:t>l’anno civile 2017 oppure l’anno scolastico 2016/2017</w:t>
      </w:r>
      <w:r>
        <w:rPr>
          <w:lang w:val="it-IT"/>
        </w:rPr>
        <w:t>. Se la panoramica viene inviata alla SEFRI entro il 31 dicembre 2018, può essere elaborata anche per l’anno</w:t>
      </w:r>
      <w:r>
        <w:rPr>
          <w:lang w:val="it-IT"/>
        </w:rPr>
        <w:t xml:space="preserve"> scolastico 2017/2018</w:t>
      </w:r>
      <w:r>
        <w:t>.</w:t>
      </w:r>
    </w:p>
    <w:p w:rsidR="000C41FD" w:rsidRDefault="00232B90">
      <w:pPr>
        <w:numPr>
          <w:ilvl w:val="0"/>
          <w:numId w:val="13"/>
        </w:numPr>
        <w:jc w:val="both"/>
        <w:rPr>
          <w:lang w:val="it-IT"/>
        </w:rPr>
      </w:pPr>
      <w:r>
        <w:rPr>
          <w:lang w:val="it-IT"/>
        </w:rPr>
        <w:t>Per valutare l’evoluzione dell’offerta ogni anno viene realizzato un monitoraggio (anno civile o anno scolastico).</w:t>
      </w:r>
    </w:p>
    <w:p w:rsidR="000C41FD" w:rsidRDefault="000C41FD">
      <w:pPr>
        <w:jc w:val="both"/>
        <w:rPr>
          <w:lang w:val="it-IT"/>
        </w:rPr>
      </w:pPr>
    </w:p>
    <w:p w:rsidR="000C41FD" w:rsidRDefault="00232B90">
      <w:pPr>
        <w:pStyle w:val="berschrift1"/>
        <w:rPr>
          <w:b w:val="0"/>
          <w:lang w:val="it-IT"/>
        </w:rPr>
      </w:pPr>
      <w:bookmarkStart w:id="4" w:name="_Toc487702832"/>
      <w:r>
        <w:rPr>
          <w:b w:val="0"/>
          <w:lang w:val="it-IT"/>
        </w:rPr>
        <w:lastRenderedPageBreak/>
        <w:t>Strumenti</w:t>
      </w:r>
      <w:bookmarkEnd w:id="4"/>
    </w:p>
    <w:p w:rsidR="000C41FD" w:rsidRDefault="00232B90">
      <w:pPr>
        <w:numPr>
          <w:ilvl w:val="0"/>
          <w:numId w:val="7"/>
        </w:numPr>
        <w:jc w:val="both"/>
      </w:pPr>
      <w:r>
        <w:rPr>
          <w:b/>
          <w:u w:val="single"/>
        </w:rPr>
        <w:t>Moduli panoramica LS, SE, AM, IKT e KA</w:t>
      </w:r>
      <w:r>
        <w:t xml:space="preserve"> (Excel, Bestandsaufnahme_Formulare)</w:t>
      </w:r>
    </w:p>
    <w:p w:rsidR="000C41FD" w:rsidRDefault="00232B90">
      <w:pPr>
        <w:ind w:left="720"/>
        <w:jc w:val="both"/>
        <w:rPr>
          <w:lang w:val="it-IT"/>
        </w:rPr>
      </w:pPr>
      <w:r>
        <w:rPr>
          <w:lang w:val="it-IT"/>
        </w:rPr>
        <w:t xml:space="preserve">Devono essere compilati una sola volta dalle istituzioni e dalle organizzazioni che propongono un’offerta in questo ambito. I dati raccolti riguardano l’anno civile 2017 o l’anno scolastico 2016/2017 (o l’anno scolastico 2017/2018). </w:t>
      </w:r>
      <w:r>
        <w:rPr>
          <w:b/>
          <w:lang w:val="it-IT"/>
        </w:rPr>
        <w:t xml:space="preserve">In ogni caso si tratta </w:t>
      </w:r>
      <w:r>
        <w:rPr>
          <w:b/>
          <w:lang w:val="it-IT"/>
        </w:rPr>
        <w:t>di un periodo di 12 mesi</w:t>
      </w:r>
      <w:r>
        <w:rPr>
          <w:lang w:val="it-IT"/>
        </w:rPr>
        <w:t>.</w:t>
      </w:r>
    </w:p>
    <w:p w:rsidR="000C41FD" w:rsidRDefault="000C41FD">
      <w:pPr>
        <w:ind w:left="720"/>
        <w:jc w:val="both"/>
        <w:rPr>
          <w:lang w:val="it-IT"/>
        </w:rPr>
      </w:pPr>
    </w:p>
    <w:p w:rsidR="000C41FD" w:rsidRDefault="00232B90">
      <w:pPr>
        <w:ind w:left="720"/>
        <w:jc w:val="both"/>
        <w:rPr>
          <w:lang w:val="it-IT"/>
        </w:rPr>
      </w:pPr>
      <w:r>
        <w:rPr>
          <w:lang w:val="it-IT"/>
        </w:rPr>
        <w:t>Le indicazioni contenute nei moduli sono utili per comprendere la tipologia delle offerte e i gruppi target, nonché per informare i partecipanti e fornire loro consulenza. I Cantoni possono cogliere questa opportunità per elabora</w:t>
      </w:r>
      <w:r>
        <w:rPr>
          <w:lang w:val="it-IT"/>
        </w:rPr>
        <w:t xml:space="preserve">re e pubblicare una panoramica delle offerte indirizzata ai partecipanti e/o alle persone che possono influenzare le scelte dei potenziali partecipanti. </w:t>
      </w:r>
    </w:p>
    <w:p w:rsidR="000C41FD" w:rsidRDefault="000C41FD">
      <w:pPr>
        <w:ind w:left="720"/>
        <w:jc w:val="both"/>
        <w:rPr>
          <w:lang w:val="it-IT"/>
        </w:rPr>
      </w:pPr>
    </w:p>
    <w:p w:rsidR="000C41FD" w:rsidRDefault="00232B90">
      <w:pPr>
        <w:numPr>
          <w:ilvl w:val="0"/>
          <w:numId w:val="7"/>
        </w:numPr>
        <w:jc w:val="both"/>
        <w:rPr>
          <w:lang w:val="it-IT"/>
        </w:rPr>
      </w:pPr>
      <w:r>
        <w:rPr>
          <w:b/>
          <w:u w:val="single"/>
          <w:lang w:val="it-IT"/>
        </w:rPr>
        <w:t>Panoramica cantonale</w:t>
      </w:r>
      <w:r>
        <w:rPr>
          <w:lang w:val="it-IT"/>
        </w:rPr>
        <w:t xml:space="preserve"> (Word, Raster_Kantonale_Bestandsaufnahme)</w:t>
      </w:r>
    </w:p>
    <w:p w:rsidR="000C41FD" w:rsidRDefault="00232B90">
      <w:pPr>
        <w:ind w:left="720"/>
        <w:jc w:val="both"/>
        <w:rPr>
          <w:b/>
          <w:lang w:val="it-IT"/>
        </w:rPr>
      </w:pPr>
      <w:r>
        <w:rPr>
          <w:lang w:val="it-IT"/>
        </w:rPr>
        <w:t>Deve essere compilata una sola volta d</w:t>
      </w:r>
      <w:r>
        <w:rPr>
          <w:lang w:val="it-IT"/>
        </w:rPr>
        <w:t xml:space="preserve">al Cantone </w:t>
      </w:r>
      <w:r>
        <w:rPr>
          <w:b/>
          <w:lang w:val="it-IT"/>
        </w:rPr>
        <w:t xml:space="preserve">per l’anno civile 2017 o per l’anno scolastico 2016/2017 </w:t>
      </w:r>
      <w:r>
        <w:rPr>
          <w:lang w:val="it-IT"/>
        </w:rPr>
        <w:t>(o l’anno scolastico 2017/2018). Le informazioni fornite dalle istituzioni e dalle organizzazioni (moduli LS, SE, AM, IKT e KA) sono consolidate e fungono da base per la compilazione. Il m</w:t>
      </w:r>
      <w:r>
        <w:rPr>
          <w:lang w:val="it-IT"/>
        </w:rPr>
        <w:t xml:space="preserve">odulo «panoramica cantonale» deve essere inviato alla </w:t>
      </w:r>
      <w:r>
        <w:rPr>
          <w:b/>
          <w:lang w:val="it-IT"/>
        </w:rPr>
        <w:t>SEFRI entro il 31 dicembre 2018</w:t>
      </w:r>
      <w:r>
        <w:rPr>
          <w:lang w:val="it-IT"/>
        </w:rPr>
        <w:t>.</w:t>
      </w:r>
    </w:p>
    <w:p w:rsidR="000C41FD" w:rsidRDefault="000C41FD">
      <w:pPr>
        <w:ind w:left="720"/>
        <w:jc w:val="both"/>
        <w:rPr>
          <w:lang w:val="it-IT"/>
        </w:rPr>
      </w:pPr>
    </w:p>
    <w:p w:rsidR="000C41FD" w:rsidRDefault="00232B90">
      <w:pPr>
        <w:numPr>
          <w:ilvl w:val="0"/>
          <w:numId w:val="7"/>
        </w:numPr>
        <w:jc w:val="both"/>
        <w:rPr>
          <w:lang w:val="it-IT"/>
        </w:rPr>
      </w:pPr>
      <w:r>
        <w:rPr>
          <w:b/>
          <w:u w:val="single"/>
          <w:lang w:val="it-IT"/>
        </w:rPr>
        <w:t>Monitoraggio annuale</w:t>
      </w:r>
      <w:r>
        <w:rPr>
          <w:lang w:val="it-IT"/>
        </w:rPr>
        <w:t xml:space="preserve"> (Excel, Jährliches_Monitoring_Formulare)</w:t>
      </w:r>
    </w:p>
    <w:p w:rsidR="000C41FD" w:rsidRDefault="00232B90">
      <w:pPr>
        <w:ind w:left="720"/>
        <w:jc w:val="both"/>
        <w:rPr>
          <w:lang w:val="it-IT"/>
        </w:rPr>
      </w:pPr>
      <w:r>
        <w:rPr>
          <w:lang w:val="it-IT"/>
        </w:rPr>
        <w:t>Deve essere compilato ogni anno dalle istituzioni e dalle organizzazioni che propongono un’offerta nell’am</w:t>
      </w:r>
      <w:r>
        <w:rPr>
          <w:lang w:val="it-IT"/>
        </w:rPr>
        <w:t xml:space="preserve">bito delle competenze di base degli adulti. I dati riguardano l’anno civile o l’anno scolastico, ma </w:t>
      </w:r>
      <w:r>
        <w:rPr>
          <w:b/>
          <w:lang w:val="it-IT"/>
        </w:rPr>
        <w:t>in ogni caso un periodo di 12 mesi</w:t>
      </w:r>
      <w:r>
        <w:rPr>
          <w:lang w:val="it-IT"/>
        </w:rPr>
        <w:t>.</w:t>
      </w:r>
    </w:p>
    <w:p w:rsidR="000C41FD" w:rsidRDefault="000C41FD">
      <w:pPr>
        <w:ind w:left="720"/>
        <w:jc w:val="both"/>
        <w:rPr>
          <w:lang w:val="it-IT"/>
        </w:rPr>
      </w:pPr>
    </w:p>
    <w:p w:rsidR="000C41FD" w:rsidRDefault="00232B90">
      <w:pPr>
        <w:numPr>
          <w:ilvl w:val="0"/>
          <w:numId w:val="7"/>
        </w:numPr>
        <w:jc w:val="both"/>
        <w:rPr>
          <w:lang w:val="it-IT"/>
        </w:rPr>
      </w:pPr>
      <w:r>
        <w:rPr>
          <w:b/>
          <w:u w:val="single"/>
          <w:lang w:val="it-IT"/>
        </w:rPr>
        <w:t>Rapporto annuale</w:t>
      </w:r>
      <w:r>
        <w:rPr>
          <w:lang w:val="it-IT"/>
        </w:rPr>
        <w:t xml:space="preserve"> (Word, Jahresberichterstattung)</w:t>
      </w:r>
    </w:p>
    <w:p w:rsidR="000C41FD" w:rsidRDefault="00232B90">
      <w:pPr>
        <w:ind w:left="720"/>
        <w:jc w:val="both"/>
        <w:rPr>
          <w:lang w:val="it-IT"/>
        </w:rPr>
      </w:pPr>
      <w:r>
        <w:rPr>
          <w:lang w:val="it-IT"/>
        </w:rPr>
        <w:t>Deve essere compilato una volta all’anno in base alle informazioni del</w:t>
      </w:r>
      <w:r>
        <w:rPr>
          <w:lang w:val="it-IT"/>
        </w:rPr>
        <w:t xml:space="preserve"> monitoraggio annuale e delle informazioni relative all’organizzazione interna del Cantone. </w:t>
      </w:r>
      <w:r>
        <w:rPr>
          <w:lang w:val="it-IT"/>
        </w:rPr>
        <w:br/>
        <w:t xml:space="preserve">Il rapporto annuale deve essere inviato alla SEFRI entro il </w:t>
      </w:r>
      <w:r>
        <w:rPr>
          <w:b/>
          <w:lang w:val="it-IT"/>
        </w:rPr>
        <w:t>31 marzo dell’anno successivo</w:t>
      </w:r>
      <w:r>
        <w:rPr>
          <w:lang w:val="it-IT"/>
        </w:rPr>
        <w:t>.</w:t>
      </w:r>
    </w:p>
    <w:p w:rsidR="000C41FD" w:rsidRDefault="000C41FD">
      <w:pPr>
        <w:ind w:left="720"/>
        <w:jc w:val="both"/>
        <w:rPr>
          <w:lang w:val="it-IT"/>
        </w:rPr>
      </w:pPr>
    </w:p>
    <w:p w:rsidR="000C41FD" w:rsidRDefault="00232B90">
      <w:pPr>
        <w:jc w:val="both"/>
        <w:rPr>
          <w:lang w:val="it-IT"/>
        </w:rPr>
      </w:pPr>
      <w:r>
        <w:rPr>
          <w:lang w:val="it-IT"/>
        </w:rPr>
        <w:t>I moduli Excel (moduli LS, SE, AM, IKT e KA e monitoraggio annuale) son</w:t>
      </w:r>
      <w:r>
        <w:rPr>
          <w:lang w:val="it-IT"/>
        </w:rPr>
        <w:t xml:space="preserve">o messi a disposizione dei Cantoni per il rilevamento dei dati. Il loro utilizzo è facoltativo: se riescono a fornire le informazioni richieste nella panoramica cantonale e nel rapporto annuale, i Cantoni possono scegliere di non usarli. Allo stesso modo, </w:t>
      </w:r>
      <w:r>
        <w:rPr>
          <w:lang w:val="it-IT"/>
        </w:rPr>
        <w:t>i Cantoni che intendono avvalersi del rilevamento per ottenere ulteriori informazioni possono aggiungere nuovi campi e/o domande ai moduli.</w:t>
      </w:r>
    </w:p>
    <w:p w:rsidR="000C41FD" w:rsidRDefault="00232B90">
      <w:pPr>
        <w:pStyle w:val="berschrift1"/>
        <w:rPr>
          <w:b w:val="0"/>
          <w:lang w:val="it-IT"/>
        </w:rPr>
      </w:pPr>
      <w:bookmarkStart w:id="5" w:name="_Toc487702833"/>
      <w:r>
        <w:rPr>
          <w:b w:val="0"/>
          <w:lang w:val="it-IT"/>
        </w:rPr>
        <w:t>Glossario</w:t>
      </w:r>
      <w:bookmarkEnd w:id="5"/>
    </w:p>
    <w:p w:rsidR="000C41FD" w:rsidRDefault="00232B90">
      <w:pPr>
        <w:numPr>
          <w:ilvl w:val="0"/>
          <w:numId w:val="10"/>
        </w:numPr>
        <w:jc w:val="both"/>
        <w:rPr>
          <w:lang w:val="it-IT"/>
        </w:rPr>
      </w:pPr>
      <w:r>
        <w:rPr>
          <w:b/>
          <w:lang w:val="it-IT"/>
        </w:rPr>
        <w:t>Offerta:</w:t>
      </w:r>
      <w:r>
        <w:rPr>
          <w:lang w:val="it-IT"/>
        </w:rPr>
        <w:t xml:space="preserve"> qualsiasi offerta pedagogica nell’ambito delle competenze di base degli adulti la cui durata può </w:t>
      </w:r>
      <w:r>
        <w:rPr>
          <w:lang w:val="it-IT"/>
        </w:rPr>
        <w:t>essere misurata, per esempio corsi regolari, corsi una tantum, coaching, servizio di sostegno, ecc.</w:t>
      </w:r>
    </w:p>
    <w:p w:rsidR="000C41FD" w:rsidRDefault="00232B90">
      <w:pPr>
        <w:numPr>
          <w:ilvl w:val="0"/>
          <w:numId w:val="10"/>
        </w:numPr>
        <w:jc w:val="both"/>
        <w:rPr>
          <w:lang w:val="it-IT"/>
        </w:rPr>
      </w:pPr>
      <w:r>
        <w:rPr>
          <w:b/>
          <w:lang w:val="it-IT"/>
        </w:rPr>
        <w:t>«Ore/partecipanti»:</w:t>
      </w:r>
      <w:r>
        <w:rPr>
          <w:lang w:val="it-IT"/>
        </w:rPr>
        <w:t xml:space="preserve"> durata dell’offerta in ore moltiplicata per il numero dei partecipanti.</w:t>
      </w:r>
    </w:p>
    <w:p w:rsidR="000C41FD" w:rsidRDefault="00232B90">
      <w:pPr>
        <w:numPr>
          <w:ilvl w:val="0"/>
          <w:numId w:val="10"/>
        </w:numPr>
        <w:jc w:val="both"/>
        <w:rPr>
          <w:lang w:val="it-IT"/>
        </w:rPr>
      </w:pPr>
      <w:r>
        <w:rPr>
          <w:b/>
          <w:lang w:val="it-IT"/>
        </w:rPr>
        <w:t>Nessuna offerta</w:t>
      </w:r>
      <w:r>
        <w:rPr>
          <w:lang w:val="it-IT"/>
        </w:rPr>
        <w:t xml:space="preserve"> </w:t>
      </w:r>
      <w:r>
        <w:rPr>
          <w:b/>
          <w:lang w:val="it-IT"/>
        </w:rPr>
        <w:t>(KA):</w:t>
      </w:r>
      <w:r>
        <w:rPr>
          <w:lang w:val="it-IT"/>
        </w:rPr>
        <w:t xml:space="preserve"> offerta prevista che non è stata realizzata.</w:t>
      </w:r>
    </w:p>
    <w:p w:rsidR="000C41FD" w:rsidRDefault="00232B90">
      <w:pPr>
        <w:numPr>
          <w:ilvl w:val="0"/>
          <w:numId w:val="10"/>
        </w:numPr>
        <w:jc w:val="both"/>
        <w:rPr>
          <w:lang w:val="it-IT"/>
        </w:rPr>
      </w:pPr>
      <w:r>
        <w:rPr>
          <w:b/>
          <w:lang w:val="it-IT"/>
        </w:rPr>
        <w:t>Operatore:</w:t>
      </w:r>
      <w:r>
        <w:rPr>
          <w:lang w:val="it-IT"/>
        </w:rPr>
        <w:t xml:space="preserve"> qualsiasi ente che propone un’offerta nell’ambito delle competenze di base degli adulti.</w:t>
      </w:r>
    </w:p>
    <w:p w:rsidR="000C41FD" w:rsidRDefault="00232B90">
      <w:pPr>
        <w:numPr>
          <w:ilvl w:val="0"/>
          <w:numId w:val="10"/>
        </w:numPr>
        <w:jc w:val="both"/>
        <w:rPr>
          <w:lang w:val="it-IT"/>
        </w:rPr>
      </w:pPr>
      <w:r>
        <w:rPr>
          <w:b/>
          <w:lang w:val="it-IT"/>
        </w:rPr>
        <w:t>Dipartimento competente:</w:t>
      </w:r>
      <w:r>
        <w:rPr>
          <w:lang w:val="it-IT"/>
        </w:rPr>
        <w:t xml:space="preserve"> dipartimento responsabile dell’esecuzione della LFCo.</w:t>
      </w:r>
    </w:p>
    <w:p w:rsidR="000C41FD" w:rsidRDefault="00232B90">
      <w:pPr>
        <w:numPr>
          <w:ilvl w:val="0"/>
          <w:numId w:val="10"/>
        </w:numPr>
        <w:jc w:val="both"/>
        <w:rPr>
          <w:lang w:val="it-IT"/>
        </w:rPr>
      </w:pPr>
      <w:r>
        <w:rPr>
          <w:b/>
          <w:lang w:val="it-IT"/>
        </w:rPr>
        <w:t>Terzi (enti pubblici):</w:t>
      </w:r>
      <w:r>
        <w:rPr>
          <w:lang w:val="it-IT"/>
        </w:rPr>
        <w:t xml:space="preserve"> comuni, </w:t>
      </w:r>
      <w:r>
        <w:rPr>
          <w:lang w:val="it-IT"/>
        </w:rPr>
        <w:t>altri dipartimenti cantonali, ecc.</w:t>
      </w:r>
    </w:p>
    <w:p w:rsidR="000C41FD" w:rsidRDefault="00232B90">
      <w:pPr>
        <w:numPr>
          <w:ilvl w:val="0"/>
          <w:numId w:val="10"/>
        </w:numPr>
        <w:jc w:val="both"/>
        <w:rPr>
          <w:lang w:val="it-IT"/>
        </w:rPr>
      </w:pPr>
      <w:r>
        <w:rPr>
          <w:b/>
          <w:lang w:val="it-IT"/>
        </w:rPr>
        <w:t>Terzi (privati):</w:t>
      </w:r>
      <w:r>
        <w:rPr>
          <w:lang w:val="it-IT"/>
        </w:rPr>
        <w:t xml:space="preserve"> fondazioni, associazioni, imprese, ecc.</w:t>
      </w:r>
    </w:p>
    <w:p w:rsidR="000C41FD" w:rsidRDefault="00232B90">
      <w:pPr>
        <w:numPr>
          <w:ilvl w:val="0"/>
          <w:numId w:val="10"/>
        </w:numPr>
        <w:jc w:val="both"/>
        <w:rPr>
          <w:lang w:val="it-IT"/>
        </w:rPr>
      </w:pPr>
      <w:r>
        <w:rPr>
          <w:b/>
          <w:lang w:val="it-IT"/>
        </w:rPr>
        <w:t>Lettura e scrittura (LS):</w:t>
      </w:r>
      <w:r>
        <w:rPr>
          <w:lang w:val="it-IT"/>
        </w:rPr>
        <w:t xml:space="preserve"> offerta rivolta alle persone che conoscono la lingua locale, hanno imparato a leggere e scrivere, ma presentano delle lacune.</w:t>
      </w:r>
    </w:p>
    <w:p w:rsidR="000C41FD" w:rsidRDefault="00232B90">
      <w:pPr>
        <w:numPr>
          <w:ilvl w:val="0"/>
          <w:numId w:val="10"/>
        </w:numPr>
        <w:jc w:val="both"/>
        <w:rPr>
          <w:lang w:val="it-IT"/>
        </w:rPr>
      </w:pPr>
      <w:r>
        <w:rPr>
          <w:b/>
          <w:lang w:val="it-IT"/>
        </w:rPr>
        <w:lastRenderedPageBreak/>
        <w:t>Apprendiment</w:t>
      </w:r>
      <w:r>
        <w:rPr>
          <w:b/>
          <w:lang w:val="it-IT"/>
        </w:rPr>
        <w:t>o della lingua (SE):</w:t>
      </w:r>
      <w:r>
        <w:rPr>
          <w:lang w:val="it-IT"/>
        </w:rPr>
        <w:t xml:space="preserve"> offerta che riguarda l’acquisizione (orale e/o scritta) della lingua locale da parte di persone che hanno una lingua madre diversa. In generale si parla di competenze di base fino al livello A2 (prendere come riferimento il livello app</w:t>
      </w:r>
      <w:r>
        <w:rPr>
          <w:lang w:val="it-IT"/>
        </w:rPr>
        <w:t>licato dal PIC del proprio Cantone).</w:t>
      </w:r>
    </w:p>
    <w:p w:rsidR="000C41FD" w:rsidRDefault="00232B90">
      <w:pPr>
        <w:pStyle w:val="berschrift1"/>
        <w:rPr>
          <w:b w:val="0"/>
          <w:lang w:val="it-IT"/>
        </w:rPr>
      </w:pPr>
      <w:bookmarkStart w:id="6" w:name="_Toc487702834"/>
      <w:r>
        <w:rPr>
          <w:b w:val="0"/>
          <w:lang w:val="it-IT"/>
        </w:rPr>
        <w:t>Procedura</w:t>
      </w:r>
      <w:bookmarkEnd w:id="6"/>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804"/>
        <w:gridCol w:w="1842"/>
      </w:tblGrid>
      <w:tr w:rsidR="000C41FD">
        <w:trPr>
          <w:tblHeader/>
        </w:trPr>
        <w:tc>
          <w:tcPr>
            <w:tcW w:w="534" w:type="dxa"/>
            <w:shd w:val="clear" w:color="auto" w:fill="BFBFBF"/>
          </w:tcPr>
          <w:p w:rsidR="000C41FD" w:rsidRDefault="000C41FD">
            <w:pPr>
              <w:jc w:val="both"/>
              <w:rPr>
                <w:b/>
                <w:lang w:val="it-IT"/>
              </w:rPr>
            </w:pPr>
          </w:p>
        </w:tc>
        <w:tc>
          <w:tcPr>
            <w:tcW w:w="6804" w:type="dxa"/>
            <w:shd w:val="clear" w:color="auto" w:fill="BFBFBF"/>
          </w:tcPr>
          <w:p w:rsidR="000C41FD" w:rsidRDefault="00232B90">
            <w:pPr>
              <w:jc w:val="both"/>
              <w:rPr>
                <w:b/>
                <w:lang w:val="it-IT"/>
              </w:rPr>
            </w:pPr>
            <w:r>
              <w:rPr>
                <w:b/>
                <w:lang w:val="it-IT"/>
              </w:rPr>
              <w:t>Tappe</w:t>
            </w:r>
          </w:p>
        </w:tc>
        <w:tc>
          <w:tcPr>
            <w:tcW w:w="1842" w:type="dxa"/>
            <w:shd w:val="clear" w:color="auto" w:fill="BFBFBF"/>
          </w:tcPr>
          <w:p w:rsidR="000C41FD" w:rsidRDefault="00232B90">
            <w:pPr>
              <w:jc w:val="both"/>
              <w:rPr>
                <w:b/>
                <w:lang w:val="it-IT"/>
              </w:rPr>
            </w:pPr>
            <w:r>
              <w:rPr>
                <w:b/>
                <w:lang w:val="it-IT"/>
              </w:rPr>
              <w:t>Tempistica consigliata</w:t>
            </w:r>
          </w:p>
        </w:tc>
      </w:tr>
      <w:tr w:rsidR="000C41FD">
        <w:tc>
          <w:tcPr>
            <w:tcW w:w="534" w:type="dxa"/>
            <w:shd w:val="clear" w:color="auto" w:fill="auto"/>
          </w:tcPr>
          <w:p w:rsidR="000C41FD" w:rsidRDefault="00232B90">
            <w:pPr>
              <w:jc w:val="both"/>
              <w:rPr>
                <w:lang w:val="it-IT"/>
              </w:rPr>
            </w:pPr>
            <w:r>
              <w:rPr>
                <w:lang w:val="it-IT"/>
              </w:rPr>
              <w:t>1</w:t>
            </w:r>
          </w:p>
        </w:tc>
        <w:tc>
          <w:tcPr>
            <w:tcW w:w="6804" w:type="dxa"/>
            <w:shd w:val="clear" w:color="auto" w:fill="auto"/>
          </w:tcPr>
          <w:p w:rsidR="000C41FD" w:rsidRDefault="00232B90">
            <w:pPr>
              <w:spacing w:after="120"/>
              <w:ind w:left="-76"/>
              <w:jc w:val="both"/>
              <w:rPr>
                <w:lang w:val="it-IT"/>
              </w:rPr>
            </w:pPr>
            <w:r>
              <w:rPr>
                <w:lang w:val="it-IT"/>
              </w:rPr>
              <w:t>Redazione di un elenco delle istituzioni e delle organizzazioni con un’offerta riguardante la promozione delle competenze di base degli adulti</w:t>
            </w:r>
          </w:p>
        </w:tc>
        <w:tc>
          <w:tcPr>
            <w:tcW w:w="1842" w:type="dxa"/>
            <w:shd w:val="clear" w:color="auto" w:fill="auto"/>
          </w:tcPr>
          <w:p w:rsidR="000C41FD" w:rsidRDefault="00232B90">
            <w:pPr>
              <w:jc w:val="both"/>
              <w:rPr>
                <w:lang w:val="it-IT"/>
              </w:rPr>
            </w:pPr>
            <w:r>
              <w:rPr>
                <w:lang w:val="it-IT"/>
              </w:rPr>
              <w:t>Primavera 2017</w:t>
            </w:r>
          </w:p>
        </w:tc>
      </w:tr>
      <w:tr w:rsidR="000C41FD">
        <w:tc>
          <w:tcPr>
            <w:tcW w:w="534" w:type="dxa"/>
            <w:shd w:val="clear" w:color="auto" w:fill="auto"/>
          </w:tcPr>
          <w:p w:rsidR="000C41FD" w:rsidRDefault="00232B90">
            <w:pPr>
              <w:jc w:val="both"/>
              <w:rPr>
                <w:lang w:val="it-IT"/>
              </w:rPr>
            </w:pPr>
            <w:r>
              <w:rPr>
                <w:lang w:val="it-IT"/>
              </w:rPr>
              <w:t>2</w:t>
            </w:r>
          </w:p>
        </w:tc>
        <w:tc>
          <w:tcPr>
            <w:tcW w:w="6804" w:type="dxa"/>
            <w:shd w:val="clear" w:color="auto" w:fill="auto"/>
          </w:tcPr>
          <w:p w:rsidR="000C41FD" w:rsidRDefault="00232B90">
            <w:pPr>
              <w:spacing w:after="120"/>
              <w:jc w:val="both"/>
              <w:rPr>
                <w:lang w:val="it-IT"/>
              </w:rPr>
            </w:pPr>
            <w:r>
              <w:rPr>
                <w:lang w:val="it-IT"/>
              </w:rPr>
              <w:t xml:space="preserve">Invio dei </w:t>
            </w:r>
            <w:r>
              <w:rPr>
                <w:u w:val="single"/>
                <w:lang w:val="it-IT"/>
              </w:rPr>
              <w:t>moduli panoramica LS, SE, AM, IKT e KA</w:t>
            </w:r>
            <w:r>
              <w:rPr>
                <w:lang w:val="it-IT"/>
              </w:rPr>
              <w:t xml:space="preserve"> alle istituzioni e alle organizzazioni individuate</w:t>
            </w:r>
          </w:p>
        </w:tc>
        <w:tc>
          <w:tcPr>
            <w:tcW w:w="1842" w:type="dxa"/>
            <w:shd w:val="clear" w:color="auto" w:fill="auto"/>
          </w:tcPr>
          <w:p w:rsidR="000C41FD" w:rsidRDefault="00232B90">
            <w:pPr>
              <w:jc w:val="both"/>
              <w:rPr>
                <w:lang w:val="it-IT"/>
              </w:rPr>
            </w:pPr>
            <w:r>
              <w:rPr>
                <w:lang w:val="it-IT"/>
              </w:rPr>
              <w:t>Durante il 2017</w:t>
            </w:r>
          </w:p>
        </w:tc>
      </w:tr>
      <w:tr w:rsidR="000C41FD">
        <w:tc>
          <w:tcPr>
            <w:tcW w:w="534" w:type="dxa"/>
            <w:shd w:val="clear" w:color="auto" w:fill="auto"/>
          </w:tcPr>
          <w:p w:rsidR="000C41FD" w:rsidRDefault="00232B90">
            <w:pPr>
              <w:jc w:val="both"/>
              <w:rPr>
                <w:lang w:val="it-IT"/>
              </w:rPr>
            </w:pPr>
            <w:r>
              <w:rPr>
                <w:lang w:val="it-IT"/>
              </w:rPr>
              <w:t>3</w:t>
            </w:r>
          </w:p>
        </w:tc>
        <w:tc>
          <w:tcPr>
            <w:tcW w:w="6804" w:type="dxa"/>
            <w:shd w:val="clear" w:color="auto" w:fill="auto"/>
          </w:tcPr>
          <w:p w:rsidR="000C41FD" w:rsidRDefault="00232B90">
            <w:pPr>
              <w:spacing w:after="120"/>
              <w:jc w:val="both"/>
              <w:rPr>
                <w:lang w:val="it-IT"/>
              </w:rPr>
            </w:pPr>
            <w:r>
              <w:rPr>
                <w:lang w:val="it-IT"/>
              </w:rPr>
              <w:t xml:space="preserve">Rinvio dei </w:t>
            </w:r>
            <w:r>
              <w:rPr>
                <w:u w:val="single"/>
                <w:lang w:val="it-IT"/>
              </w:rPr>
              <w:t>moduli panoramica LS, SE, AM, IKT e KA</w:t>
            </w:r>
            <w:r>
              <w:rPr>
                <w:lang w:val="it-IT"/>
              </w:rPr>
              <w:t xml:space="preserve"> al Cantone</w:t>
            </w:r>
          </w:p>
        </w:tc>
        <w:tc>
          <w:tcPr>
            <w:tcW w:w="1842" w:type="dxa"/>
            <w:shd w:val="clear" w:color="auto" w:fill="auto"/>
          </w:tcPr>
          <w:p w:rsidR="000C41FD" w:rsidRDefault="00232B90">
            <w:pPr>
              <w:jc w:val="both"/>
              <w:rPr>
                <w:lang w:val="it-IT"/>
              </w:rPr>
            </w:pPr>
            <w:r>
              <w:rPr>
                <w:lang w:val="it-IT"/>
              </w:rPr>
              <w:t>Inizio 2018</w:t>
            </w:r>
          </w:p>
        </w:tc>
      </w:tr>
      <w:tr w:rsidR="000C41FD">
        <w:tc>
          <w:tcPr>
            <w:tcW w:w="534" w:type="dxa"/>
            <w:shd w:val="clear" w:color="auto" w:fill="auto"/>
          </w:tcPr>
          <w:p w:rsidR="000C41FD" w:rsidRDefault="00232B90">
            <w:pPr>
              <w:jc w:val="both"/>
              <w:rPr>
                <w:lang w:val="it-IT"/>
              </w:rPr>
            </w:pPr>
            <w:r>
              <w:rPr>
                <w:lang w:val="it-IT"/>
              </w:rPr>
              <w:t>4</w:t>
            </w:r>
          </w:p>
        </w:tc>
        <w:tc>
          <w:tcPr>
            <w:tcW w:w="6804" w:type="dxa"/>
            <w:shd w:val="clear" w:color="auto" w:fill="auto"/>
          </w:tcPr>
          <w:p w:rsidR="000C41FD" w:rsidRDefault="00232B90">
            <w:pPr>
              <w:spacing w:after="120"/>
              <w:jc w:val="both"/>
              <w:rPr>
                <w:lang w:val="it-IT"/>
              </w:rPr>
            </w:pPr>
            <w:r>
              <w:rPr>
                <w:lang w:val="it-IT"/>
              </w:rPr>
              <w:t>Redazione e invio del rapporto annuale 2017 alla SEFRI</w:t>
            </w:r>
          </w:p>
        </w:tc>
        <w:tc>
          <w:tcPr>
            <w:tcW w:w="1842" w:type="dxa"/>
            <w:shd w:val="clear" w:color="auto" w:fill="auto"/>
          </w:tcPr>
          <w:p w:rsidR="000C41FD" w:rsidRDefault="00232B90">
            <w:pPr>
              <w:jc w:val="both"/>
              <w:rPr>
                <w:lang w:val="it-IT"/>
              </w:rPr>
            </w:pPr>
            <w:r>
              <w:rPr>
                <w:lang w:val="it-IT"/>
              </w:rPr>
              <w:t>31.03.2018*</w:t>
            </w:r>
          </w:p>
        </w:tc>
      </w:tr>
      <w:tr w:rsidR="000C41FD">
        <w:tc>
          <w:tcPr>
            <w:tcW w:w="534" w:type="dxa"/>
            <w:shd w:val="clear" w:color="auto" w:fill="auto"/>
          </w:tcPr>
          <w:p w:rsidR="000C41FD" w:rsidRDefault="00232B90">
            <w:pPr>
              <w:jc w:val="both"/>
              <w:rPr>
                <w:lang w:val="it-IT"/>
              </w:rPr>
            </w:pPr>
            <w:r>
              <w:rPr>
                <w:lang w:val="it-IT"/>
              </w:rPr>
              <w:t>5</w:t>
            </w:r>
          </w:p>
        </w:tc>
        <w:tc>
          <w:tcPr>
            <w:tcW w:w="6804" w:type="dxa"/>
            <w:shd w:val="clear" w:color="auto" w:fill="auto"/>
          </w:tcPr>
          <w:p w:rsidR="000C41FD" w:rsidRDefault="00232B90">
            <w:pPr>
              <w:spacing w:after="120"/>
              <w:jc w:val="both"/>
              <w:rPr>
                <w:lang w:val="it-IT"/>
              </w:rPr>
            </w:pPr>
            <w:r>
              <w:rPr>
                <w:lang w:val="it-IT"/>
              </w:rPr>
              <w:t xml:space="preserve">Integrazione delle informazioni consolidate dei </w:t>
            </w:r>
            <w:r>
              <w:rPr>
                <w:u w:val="single"/>
                <w:lang w:val="it-IT"/>
              </w:rPr>
              <w:t>moduli panoramica LS, SE, AM, IKT e KA</w:t>
            </w:r>
            <w:r>
              <w:rPr>
                <w:lang w:val="it-IT"/>
              </w:rPr>
              <w:t xml:space="preserve"> nel modulo «panoramica cantonale» secondo le indicazioni contenute in quest’ultimo</w:t>
            </w:r>
          </w:p>
        </w:tc>
        <w:tc>
          <w:tcPr>
            <w:tcW w:w="1842" w:type="dxa"/>
            <w:shd w:val="clear" w:color="auto" w:fill="auto"/>
          </w:tcPr>
          <w:p w:rsidR="000C41FD" w:rsidRDefault="00232B90">
            <w:pPr>
              <w:jc w:val="both"/>
              <w:rPr>
                <w:lang w:val="it-IT"/>
              </w:rPr>
            </w:pPr>
            <w:r>
              <w:rPr>
                <w:lang w:val="it-IT"/>
              </w:rPr>
              <w:t>2018</w:t>
            </w:r>
          </w:p>
        </w:tc>
      </w:tr>
      <w:tr w:rsidR="000C41FD">
        <w:tc>
          <w:tcPr>
            <w:tcW w:w="534" w:type="dxa"/>
            <w:shd w:val="clear" w:color="auto" w:fill="auto"/>
          </w:tcPr>
          <w:p w:rsidR="000C41FD" w:rsidRDefault="00232B90">
            <w:pPr>
              <w:jc w:val="both"/>
              <w:rPr>
                <w:lang w:val="it-IT"/>
              </w:rPr>
            </w:pPr>
            <w:r>
              <w:rPr>
                <w:lang w:val="it-IT"/>
              </w:rPr>
              <w:t>6</w:t>
            </w:r>
          </w:p>
        </w:tc>
        <w:tc>
          <w:tcPr>
            <w:tcW w:w="6804" w:type="dxa"/>
            <w:shd w:val="clear" w:color="auto" w:fill="auto"/>
          </w:tcPr>
          <w:p w:rsidR="000C41FD" w:rsidRDefault="00232B90">
            <w:pPr>
              <w:spacing w:after="120"/>
              <w:jc w:val="both"/>
              <w:rPr>
                <w:lang w:val="it-IT"/>
              </w:rPr>
            </w:pPr>
            <w:r>
              <w:rPr>
                <w:lang w:val="it-IT"/>
              </w:rPr>
              <w:t xml:space="preserve">Invio dei </w:t>
            </w:r>
            <w:r>
              <w:rPr>
                <w:u w:val="single"/>
                <w:lang w:val="it-IT"/>
              </w:rPr>
              <w:t>moduli relativi al monitoraggio annuale</w:t>
            </w:r>
            <w:r>
              <w:rPr>
                <w:lang w:val="it-IT"/>
              </w:rPr>
              <w:t xml:space="preserve"> per l’anno civile 2018 o per</w:t>
            </w:r>
            <w:r>
              <w:rPr>
                <w:lang w:val="it-IT"/>
              </w:rPr>
              <w:t xml:space="preserve"> l’anno scolastico 2017/2018 alle istituzioni e alle organizzazioni individuate</w:t>
            </w:r>
          </w:p>
        </w:tc>
        <w:tc>
          <w:tcPr>
            <w:tcW w:w="1842" w:type="dxa"/>
            <w:shd w:val="clear" w:color="auto" w:fill="auto"/>
          </w:tcPr>
          <w:p w:rsidR="000C41FD" w:rsidRDefault="00232B90">
            <w:pPr>
              <w:jc w:val="both"/>
              <w:rPr>
                <w:lang w:val="it-IT"/>
              </w:rPr>
            </w:pPr>
            <w:r>
              <w:rPr>
                <w:lang w:val="it-IT"/>
              </w:rPr>
              <w:t>Durante il 2018</w:t>
            </w:r>
          </w:p>
        </w:tc>
      </w:tr>
      <w:tr w:rsidR="000C41FD">
        <w:tc>
          <w:tcPr>
            <w:tcW w:w="534" w:type="dxa"/>
            <w:shd w:val="clear" w:color="auto" w:fill="auto"/>
          </w:tcPr>
          <w:p w:rsidR="000C41FD" w:rsidRDefault="00232B90">
            <w:pPr>
              <w:jc w:val="both"/>
              <w:rPr>
                <w:lang w:val="it-IT"/>
              </w:rPr>
            </w:pPr>
            <w:r>
              <w:rPr>
                <w:lang w:val="it-IT"/>
              </w:rPr>
              <w:t>7</w:t>
            </w:r>
          </w:p>
        </w:tc>
        <w:tc>
          <w:tcPr>
            <w:tcW w:w="6804" w:type="dxa"/>
            <w:shd w:val="clear" w:color="auto" w:fill="auto"/>
          </w:tcPr>
          <w:p w:rsidR="000C41FD" w:rsidRDefault="00232B90">
            <w:pPr>
              <w:spacing w:after="120"/>
              <w:jc w:val="both"/>
              <w:rPr>
                <w:lang w:val="it-IT"/>
              </w:rPr>
            </w:pPr>
            <w:r>
              <w:rPr>
                <w:lang w:val="it-IT"/>
              </w:rPr>
              <w:t>Rinvio del modulo «</w:t>
            </w:r>
            <w:r>
              <w:rPr>
                <w:u w:val="single"/>
                <w:lang w:val="it-IT"/>
              </w:rPr>
              <w:t>panoramica cantonale</w:t>
            </w:r>
            <w:r>
              <w:rPr>
                <w:lang w:val="it-IT"/>
              </w:rPr>
              <w:t>» alla SEFRI</w:t>
            </w:r>
          </w:p>
        </w:tc>
        <w:tc>
          <w:tcPr>
            <w:tcW w:w="1842" w:type="dxa"/>
            <w:shd w:val="clear" w:color="auto" w:fill="auto"/>
          </w:tcPr>
          <w:p w:rsidR="000C41FD" w:rsidRDefault="00232B90">
            <w:pPr>
              <w:jc w:val="both"/>
              <w:rPr>
                <w:lang w:val="it-IT"/>
              </w:rPr>
            </w:pPr>
            <w:r>
              <w:rPr>
                <w:lang w:val="it-IT"/>
              </w:rPr>
              <w:t>31.12.2018*</w:t>
            </w:r>
          </w:p>
        </w:tc>
      </w:tr>
      <w:tr w:rsidR="000C41FD">
        <w:tc>
          <w:tcPr>
            <w:tcW w:w="534" w:type="dxa"/>
            <w:shd w:val="clear" w:color="auto" w:fill="auto"/>
          </w:tcPr>
          <w:p w:rsidR="000C41FD" w:rsidRDefault="00232B90">
            <w:pPr>
              <w:jc w:val="both"/>
              <w:rPr>
                <w:lang w:val="it-IT"/>
              </w:rPr>
            </w:pPr>
            <w:r>
              <w:rPr>
                <w:lang w:val="it-IT"/>
              </w:rPr>
              <w:t>8</w:t>
            </w:r>
          </w:p>
        </w:tc>
        <w:tc>
          <w:tcPr>
            <w:tcW w:w="6804" w:type="dxa"/>
            <w:shd w:val="clear" w:color="auto" w:fill="auto"/>
          </w:tcPr>
          <w:p w:rsidR="000C41FD" w:rsidRDefault="00232B90">
            <w:pPr>
              <w:spacing w:after="120"/>
              <w:jc w:val="both"/>
              <w:rPr>
                <w:lang w:val="it-IT"/>
              </w:rPr>
            </w:pPr>
            <w:r>
              <w:rPr>
                <w:lang w:val="it-IT"/>
              </w:rPr>
              <w:t xml:space="preserve">Rinvio dei </w:t>
            </w:r>
            <w:r>
              <w:rPr>
                <w:u w:val="single"/>
                <w:lang w:val="it-IT"/>
              </w:rPr>
              <w:t>moduli relativi al monitoraggio annuale</w:t>
            </w:r>
            <w:r>
              <w:rPr>
                <w:lang w:val="it-IT"/>
              </w:rPr>
              <w:t xml:space="preserve"> al Cantone</w:t>
            </w:r>
          </w:p>
        </w:tc>
        <w:tc>
          <w:tcPr>
            <w:tcW w:w="1842" w:type="dxa"/>
            <w:shd w:val="clear" w:color="auto" w:fill="auto"/>
          </w:tcPr>
          <w:p w:rsidR="000C41FD" w:rsidRDefault="00232B90">
            <w:pPr>
              <w:jc w:val="both"/>
              <w:rPr>
                <w:lang w:val="it-IT"/>
              </w:rPr>
            </w:pPr>
            <w:r>
              <w:rPr>
                <w:lang w:val="it-IT"/>
              </w:rPr>
              <w:t>Inizio 2019</w:t>
            </w:r>
          </w:p>
        </w:tc>
      </w:tr>
      <w:tr w:rsidR="000C41FD">
        <w:tc>
          <w:tcPr>
            <w:tcW w:w="534" w:type="dxa"/>
            <w:shd w:val="clear" w:color="auto" w:fill="auto"/>
          </w:tcPr>
          <w:p w:rsidR="000C41FD" w:rsidRDefault="00232B90">
            <w:pPr>
              <w:jc w:val="both"/>
              <w:rPr>
                <w:lang w:val="it-IT"/>
              </w:rPr>
            </w:pPr>
            <w:r>
              <w:rPr>
                <w:lang w:val="it-IT"/>
              </w:rPr>
              <w:t>9</w:t>
            </w:r>
          </w:p>
        </w:tc>
        <w:tc>
          <w:tcPr>
            <w:tcW w:w="6804" w:type="dxa"/>
            <w:shd w:val="clear" w:color="auto" w:fill="auto"/>
          </w:tcPr>
          <w:p w:rsidR="000C41FD" w:rsidRDefault="00232B90">
            <w:pPr>
              <w:spacing w:after="120"/>
              <w:jc w:val="both"/>
              <w:rPr>
                <w:lang w:val="it-IT"/>
              </w:rPr>
            </w:pPr>
            <w:r>
              <w:rPr>
                <w:lang w:val="it-IT"/>
              </w:rPr>
              <w:t xml:space="preserve">Redazione e </w:t>
            </w:r>
            <w:r>
              <w:rPr>
                <w:lang w:val="it-IT"/>
              </w:rPr>
              <w:t>invio del rapporto annuale 2018 alla SEFRI</w:t>
            </w:r>
          </w:p>
        </w:tc>
        <w:tc>
          <w:tcPr>
            <w:tcW w:w="1842" w:type="dxa"/>
            <w:shd w:val="clear" w:color="auto" w:fill="auto"/>
          </w:tcPr>
          <w:p w:rsidR="000C41FD" w:rsidRDefault="00232B90">
            <w:pPr>
              <w:jc w:val="both"/>
              <w:rPr>
                <w:lang w:val="it-IT"/>
              </w:rPr>
            </w:pPr>
            <w:r>
              <w:rPr>
                <w:lang w:val="it-IT"/>
              </w:rPr>
              <w:t>31.03.2019*</w:t>
            </w:r>
          </w:p>
        </w:tc>
      </w:tr>
      <w:tr w:rsidR="000C41FD">
        <w:tc>
          <w:tcPr>
            <w:tcW w:w="534" w:type="dxa"/>
            <w:shd w:val="clear" w:color="auto" w:fill="auto"/>
          </w:tcPr>
          <w:p w:rsidR="000C41FD" w:rsidRDefault="00232B90">
            <w:pPr>
              <w:jc w:val="both"/>
              <w:rPr>
                <w:lang w:val="it-IT"/>
              </w:rPr>
            </w:pPr>
            <w:r>
              <w:rPr>
                <w:lang w:val="it-IT"/>
              </w:rPr>
              <w:t>10</w:t>
            </w:r>
          </w:p>
        </w:tc>
        <w:tc>
          <w:tcPr>
            <w:tcW w:w="6804" w:type="dxa"/>
            <w:shd w:val="clear" w:color="auto" w:fill="auto"/>
          </w:tcPr>
          <w:p w:rsidR="000C41FD" w:rsidRDefault="00232B90">
            <w:pPr>
              <w:spacing w:after="120"/>
              <w:jc w:val="both"/>
              <w:rPr>
                <w:lang w:val="it-IT"/>
              </w:rPr>
            </w:pPr>
            <w:r>
              <w:rPr>
                <w:lang w:val="it-IT"/>
              </w:rPr>
              <w:t xml:space="preserve">Invio dei </w:t>
            </w:r>
            <w:r>
              <w:rPr>
                <w:u w:val="single"/>
                <w:lang w:val="it-IT"/>
              </w:rPr>
              <w:t>moduli relativi al monitoraggio annuale</w:t>
            </w:r>
            <w:r>
              <w:rPr>
                <w:lang w:val="it-IT"/>
              </w:rPr>
              <w:t xml:space="preserve"> per l’anno civile 2019 o per l’anno scolastico 2018/2019 alle istituzioni e alle organizzazioni individuate</w:t>
            </w:r>
          </w:p>
        </w:tc>
        <w:tc>
          <w:tcPr>
            <w:tcW w:w="1842" w:type="dxa"/>
            <w:shd w:val="clear" w:color="auto" w:fill="auto"/>
          </w:tcPr>
          <w:p w:rsidR="000C41FD" w:rsidRDefault="00232B90">
            <w:pPr>
              <w:jc w:val="both"/>
              <w:rPr>
                <w:lang w:val="it-IT"/>
              </w:rPr>
            </w:pPr>
            <w:r>
              <w:rPr>
                <w:lang w:val="it-IT"/>
              </w:rPr>
              <w:t>Durante il 2019</w:t>
            </w:r>
          </w:p>
        </w:tc>
      </w:tr>
      <w:tr w:rsidR="000C41FD">
        <w:tc>
          <w:tcPr>
            <w:tcW w:w="534" w:type="dxa"/>
            <w:shd w:val="clear" w:color="auto" w:fill="auto"/>
          </w:tcPr>
          <w:p w:rsidR="000C41FD" w:rsidRDefault="00232B90">
            <w:pPr>
              <w:jc w:val="both"/>
              <w:rPr>
                <w:lang w:val="it-IT"/>
              </w:rPr>
            </w:pPr>
            <w:r>
              <w:rPr>
                <w:lang w:val="it-IT"/>
              </w:rPr>
              <w:t>11</w:t>
            </w:r>
          </w:p>
        </w:tc>
        <w:tc>
          <w:tcPr>
            <w:tcW w:w="6804" w:type="dxa"/>
            <w:shd w:val="clear" w:color="auto" w:fill="auto"/>
          </w:tcPr>
          <w:p w:rsidR="000C41FD" w:rsidRDefault="00232B90">
            <w:pPr>
              <w:spacing w:after="120"/>
              <w:jc w:val="both"/>
              <w:rPr>
                <w:lang w:val="it-IT"/>
              </w:rPr>
            </w:pPr>
            <w:r>
              <w:rPr>
                <w:lang w:val="it-IT"/>
              </w:rPr>
              <w:t xml:space="preserve">Rinvio dei </w:t>
            </w:r>
            <w:r>
              <w:rPr>
                <w:u w:val="single"/>
                <w:lang w:val="it-IT"/>
              </w:rPr>
              <w:t>moduli r</w:t>
            </w:r>
            <w:r>
              <w:rPr>
                <w:u w:val="single"/>
                <w:lang w:val="it-IT"/>
              </w:rPr>
              <w:t>elativi al monitoraggio annuale</w:t>
            </w:r>
            <w:r>
              <w:rPr>
                <w:lang w:val="it-IT"/>
              </w:rPr>
              <w:t xml:space="preserve"> al Cantone</w:t>
            </w:r>
          </w:p>
        </w:tc>
        <w:tc>
          <w:tcPr>
            <w:tcW w:w="1842" w:type="dxa"/>
            <w:shd w:val="clear" w:color="auto" w:fill="auto"/>
          </w:tcPr>
          <w:p w:rsidR="000C41FD" w:rsidRDefault="00232B90">
            <w:pPr>
              <w:jc w:val="both"/>
              <w:rPr>
                <w:lang w:val="it-IT"/>
              </w:rPr>
            </w:pPr>
            <w:r>
              <w:rPr>
                <w:lang w:val="it-IT"/>
              </w:rPr>
              <w:t>Inizio 2020</w:t>
            </w:r>
          </w:p>
        </w:tc>
      </w:tr>
      <w:tr w:rsidR="000C41FD">
        <w:tc>
          <w:tcPr>
            <w:tcW w:w="534" w:type="dxa"/>
            <w:shd w:val="clear" w:color="auto" w:fill="auto"/>
          </w:tcPr>
          <w:p w:rsidR="000C41FD" w:rsidRDefault="00232B90">
            <w:pPr>
              <w:jc w:val="both"/>
              <w:rPr>
                <w:lang w:val="it-IT"/>
              </w:rPr>
            </w:pPr>
            <w:r>
              <w:rPr>
                <w:lang w:val="it-IT"/>
              </w:rPr>
              <w:t>12</w:t>
            </w:r>
          </w:p>
        </w:tc>
        <w:tc>
          <w:tcPr>
            <w:tcW w:w="6804" w:type="dxa"/>
            <w:shd w:val="clear" w:color="auto" w:fill="auto"/>
          </w:tcPr>
          <w:p w:rsidR="000C41FD" w:rsidRDefault="00232B90">
            <w:pPr>
              <w:spacing w:after="120"/>
              <w:jc w:val="both"/>
              <w:rPr>
                <w:lang w:val="it-IT"/>
              </w:rPr>
            </w:pPr>
            <w:r>
              <w:rPr>
                <w:lang w:val="it-IT"/>
              </w:rPr>
              <w:t>Redazione e invio del rapporto annuale 2019 alla SEFRI</w:t>
            </w:r>
          </w:p>
        </w:tc>
        <w:tc>
          <w:tcPr>
            <w:tcW w:w="1842" w:type="dxa"/>
            <w:shd w:val="clear" w:color="auto" w:fill="auto"/>
          </w:tcPr>
          <w:p w:rsidR="000C41FD" w:rsidRDefault="00232B90">
            <w:pPr>
              <w:jc w:val="both"/>
              <w:rPr>
                <w:lang w:val="it-IT"/>
              </w:rPr>
            </w:pPr>
            <w:r>
              <w:rPr>
                <w:lang w:val="it-IT"/>
              </w:rPr>
              <w:t>31.03.2020*</w:t>
            </w:r>
          </w:p>
        </w:tc>
      </w:tr>
      <w:tr w:rsidR="000C41FD">
        <w:tc>
          <w:tcPr>
            <w:tcW w:w="534" w:type="dxa"/>
            <w:shd w:val="clear" w:color="auto" w:fill="auto"/>
          </w:tcPr>
          <w:p w:rsidR="000C41FD" w:rsidRDefault="00232B90">
            <w:pPr>
              <w:jc w:val="both"/>
              <w:rPr>
                <w:lang w:val="it-IT"/>
              </w:rPr>
            </w:pPr>
            <w:r>
              <w:rPr>
                <w:lang w:val="it-IT"/>
              </w:rPr>
              <w:t>13</w:t>
            </w:r>
          </w:p>
        </w:tc>
        <w:tc>
          <w:tcPr>
            <w:tcW w:w="6804" w:type="dxa"/>
            <w:shd w:val="clear" w:color="auto" w:fill="auto"/>
          </w:tcPr>
          <w:p w:rsidR="000C41FD" w:rsidRDefault="00232B90">
            <w:pPr>
              <w:spacing w:after="120"/>
              <w:jc w:val="both"/>
              <w:rPr>
                <w:lang w:val="it-IT"/>
              </w:rPr>
            </w:pPr>
            <w:r>
              <w:rPr>
                <w:lang w:val="it-IT"/>
              </w:rPr>
              <w:t xml:space="preserve">Invio dei </w:t>
            </w:r>
            <w:r>
              <w:rPr>
                <w:u w:val="single"/>
                <w:lang w:val="it-IT"/>
              </w:rPr>
              <w:t>moduli relativi al monitoraggio annuale</w:t>
            </w:r>
            <w:r>
              <w:rPr>
                <w:lang w:val="it-IT"/>
              </w:rPr>
              <w:t xml:space="preserve"> per l’anno civile 2020 o per l’anno scolastico 2019/2020 alle istituzioni e alle organizzazioni individuate</w:t>
            </w:r>
          </w:p>
        </w:tc>
        <w:tc>
          <w:tcPr>
            <w:tcW w:w="1842" w:type="dxa"/>
            <w:shd w:val="clear" w:color="auto" w:fill="auto"/>
          </w:tcPr>
          <w:p w:rsidR="000C41FD" w:rsidRDefault="00232B90">
            <w:pPr>
              <w:jc w:val="both"/>
              <w:rPr>
                <w:lang w:val="it-IT"/>
              </w:rPr>
            </w:pPr>
            <w:r>
              <w:rPr>
                <w:lang w:val="it-IT"/>
              </w:rPr>
              <w:t>Durante il 2020</w:t>
            </w:r>
          </w:p>
        </w:tc>
      </w:tr>
      <w:tr w:rsidR="000C41FD">
        <w:tc>
          <w:tcPr>
            <w:tcW w:w="534" w:type="dxa"/>
            <w:shd w:val="clear" w:color="auto" w:fill="auto"/>
          </w:tcPr>
          <w:p w:rsidR="000C41FD" w:rsidRDefault="00232B90">
            <w:pPr>
              <w:jc w:val="both"/>
              <w:rPr>
                <w:lang w:val="it-IT"/>
              </w:rPr>
            </w:pPr>
            <w:r>
              <w:rPr>
                <w:lang w:val="it-IT"/>
              </w:rPr>
              <w:t>14</w:t>
            </w:r>
          </w:p>
        </w:tc>
        <w:tc>
          <w:tcPr>
            <w:tcW w:w="6804" w:type="dxa"/>
            <w:shd w:val="clear" w:color="auto" w:fill="auto"/>
          </w:tcPr>
          <w:p w:rsidR="000C41FD" w:rsidRDefault="00232B90">
            <w:pPr>
              <w:spacing w:after="120"/>
              <w:jc w:val="both"/>
              <w:rPr>
                <w:lang w:val="it-IT"/>
              </w:rPr>
            </w:pPr>
            <w:r>
              <w:rPr>
                <w:lang w:val="it-IT"/>
              </w:rPr>
              <w:t xml:space="preserve">Rinvio dei </w:t>
            </w:r>
            <w:r>
              <w:rPr>
                <w:u w:val="single"/>
                <w:lang w:val="it-IT"/>
              </w:rPr>
              <w:t>moduli relativi al monitoraggio annuale</w:t>
            </w:r>
            <w:r>
              <w:rPr>
                <w:lang w:val="it-IT"/>
              </w:rPr>
              <w:t xml:space="preserve"> ai Cantoni </w:t>
            </w:r>
          </w:p>
        </w:tc>
        <w:tc>
          <w:tcPr>
            <w:tcW w:w="1842" w:type="dxa"/>
            <w:shd w:val="clear" w:color="auto" w:fill="auto"/>
          </w:tcPr>
          <w:p w:rsidR="000C41FD" w:rsidRDefault="00232B90">
            <w:pPr>
              <w:jc w:val="both"/>
              <w:rPr>
                <w:lang w:val="it-IT"/>
              </w:rPr>
            </w:pPr>
            <w:r>
              <w:rPr>
                <w:lang w:val="it-IT"/>
              </w:rPr>
              <w:t>Inizio 2021</w:t>
            </w:r>
          </w:p>
        </w:tc>
      </w:tr>
      <w:tr w:rsidR="000C41FD">
        <w:tc>
          <w:tcPr>
            <w:tcW w:w="534" w:type="dxa"/>
            <w:shd w:val="clear" w:color="auto" w:fill="auto"/>
          </w:tcPr>
          <w:p w:rsidR="000C41FD" w:rsidRDefault="00232B90">
            <w:pPr>
              <w:jc w:val="both"/>
              <w:rPr>
                <w:lang w:val="it-IT"/>
              </w:rPr>
            </w:pPr>
            <w:r>
              <w:rPr>
                <w:lang w:val="it-IT"/>
              </w:rPr>
              <w:t>15</w:t>
            </w:r>
          </w:p>
        </w:tc>
        <w:tc>
          <w:tcPr>
            <w:tcW w:w="6804" w:type="dxa"/>
            <w:shd w:val="clear" w:color="auto" w:fill="auto"/>
          </w:tcPr>
          <w:p w:rsidR="000C41FD" w:rsidRDefault="00232B90">
            <w:pPr>
              <w:spacing w:after="120"/>
              <w:jc w:val="both"/>
              <w:rPr>
                <w:lang w:val="it-IT"/>
              </w:rPr>
            </w:pPr>
            <w:r>
              <w:rPr>
                <w:lang w:val="it-IT"/>
              </w:rPr>
              <w:t>Redazione e invio del rapporto annuale 2020 alla</w:t>
            </w:r>
            <w:r>
              <w:rPr>
                <w:lang w:val="it-IT"/>
              </w:rPr>
              <w:t xml:space="preserve"> SEFRI</w:t>
            </w:r>
          </w:p>
        </w:tc>
        <w:tc>
          <w:tcPr>
            <w:tcW w:w="1842" w:type="dxa"/>
            <w:shd w:val="clear" w:color="auto" w:fill="auto"/>
          </w:tcPr>
          <w:p w:rsidR="000C41FD" w:rsidRDefault="00232B90">
            <w:pPr>
              <w:jc w:val="both"/>
              <w:rPr>
                <w:lang w:val="it-IT"/>
              </w:rPr>
            </w:pPr>
            <w:r>
              <w:rPr>
                <w:lang w:val="it-IT"/>
              </w:rPr>
              <w:t>31.03.2021*</w:t>
            </w:r>
          </w:p>
        </w:tc>
      </w:tr>
    </w:tbl>
    <w:p w:rsidR="000C41FD" w:rsidRDefault="00232B90">
      <w:pPr>
        <w:jc w:val="both"/>
        <w:rPr>
          <w:lang w:val="it-IT"/>
        </w:rPr>
      </w:pPr>
      <w:r>
        <w:rPr>
          <w:lang w:val="it-IT"/>
        </w:rPr>
        <w:t>* scadenze contrattuali</w:t>
      </w:r>
    </w:p>
    <w:p w:rsidR="000C41FD" w:rsidRDefault="00232B90">
      <w:pPr>
        <w:pStyle w:val="berschrift1"/>
        <w:rPr>
          <w:lang w:val="it-IT"/>
        </w:rPr>
      </w:pPr>
      <w:r>
        <w:rPr>
          <w:lang w:val="it-IT"/>
        </w:rPr>
        <w:br w:type="page"/>
      </w:r>
      <w:bookmarkStart w:id="7" w:name="_Toc487702835"/>
      <w:r>
        <w:rPr>
          <w:lang w:val="it-IT"/>
        </w:rPr>
        <w:lastRenderedPageBreak/>
        <w:t>Allegato</w:t>
      </w:r>
      <w:bookmarkEnd w:id="7"/>
      <w:r>
        <w:rPr>
          <w:lang w:val="it-IT"/>
        </w:rPr>
        <w:t> </w:t>
      </w:r>
    </w:p>
    <w:p w:rsidR="000C41FD" w:rsidRDefault="00232B90">
      <w:pPr>
        <w:jc w:val="both"/>
        <w:rPr>
          <w:lang w:val="it-IT"/>
        </w:rPr>
      </w:pPr>
      <w:r>
        <w:rPr>
          <w:lang w:val="it-IT"/>
        </w:rPr>
        <w:t>Elenco dei potenziali operatori nell’ambito delle competenze di base degli adulti. L’elenco, non esaustivo, permette di individuare gli operatori a cui inviare i diversi moduli.</w:t>
      </w:r>
    </w:p>
    <w:p w:rsidR="000C41FD" w:rsidRDefault="000C41FD">
      <w:pPr>
        <w:jc w:val="both"/>
        <w:rPr>
          <w:lang w:val="it-IT"/>
        </w:rPr>
      </w:pPr>
    </w:p>
    <w:p w:rsidR="000C41FD" w:rsidRDefault="00232B90">
      <w:pPr>
        <w:jc w:val="both"/>
        <w:rPr>
          <w:lang w:val="it-IT"/>
        </w:rPr>
      </w:pPr>
      <w:r>
        <w:rPr>
          <w:b/>
          <w:lang w:val="it-IT"/>
        </w:rPr>
        <w:t>Servizi/enti</w:t>
      </w:r>
      <w:r>
        <w:rPr>
          <w:lang w:val="it-IT"/>
        </w:rPr>
        <w:t xml:space="preserve"> che possono richiedere o proporre offerte nell’ambito delle competenze di base degli adulti:</w:t>
      </w:r>
    </w:p>
    <w:p w:rsidR="000C41FD" w:rsidRDefault="00232B90">
      <w:pPr>
        <w:numPr>
          <w:ilvl w:val="0"/>
          <w:numId w:val="11"/>
        </w:numPr>
        <w:jc w:val="both"/>
        <w:rPr>
          <w:lang w:val="it-IT"/>
        </w:rPr>
      </w:pPr>
      <w:r>
        <w:rPr>
          <w:lang w:val="it-IT"/>
        </w:rPr>
        <w:t>Uffici sociali (assistenza sociale)</w:t>
      </w:r>
    </w:p>
    <w:p w:rsidR="000C41FD" w:rsidRDefault="00232B90">
      <w:pPr>
        <w:numPr>
          <w:ilvl w:val="0"/>
          <w:numId w:val="11"/>
        </w:numPr>
        <w:jc w:val="both"/>
        <w:rPr>
          <w:lang w:val="it-IT"/>
        </w:rPr>
      </w:pPr>
      <w:r>
        <w:rPr>
          <w:lang w:val="it-IT"/>
        </w:rPr>
        <w:t>Uffici di collocamento (URC)</w:t>
      </w:r>
    </w:p>
    <w:p w:rsidR="000C41FD" w:rsidRDefault="00232B90">
      <w:pPr>
        <w:numPr>
          <w:ilvl w:val="0"/>
          <w:numId w:val="11"/>
        </w:numPr>
        <w:jc w:val="both"/>
        <w:rPr>
          <w:lang w:val="it-IT"/>
        </w:rPr>
      </w:pPr>
      <w:r>
        <w:rPr>
          <w:lang w:val="it-IT"/>
        </w:rPr>
        <w:t>Servizi specializzati in materia di integrazione (responsabile PIC / delegato all’integrazione)</w:t>
      </w:r>
    </w:p>
    <w:p w:rsidR="000C41FD" w:rsidRDefault="00232B90">
      <w:pPr>
        <w:numPr>
          <w:ilvl w:val="0"/>
          <w:numId w:val="11"/>
        </w:numPr>
        <w:jc w:val="both"/>
        <w:rPr>
          <w:lang w:val="it-IT"/>
        </w:rPr>
      </w:pPr>
      <w:r>
        <w:rPr>
          <w:lang w:val="it-IT"/>
        </w:rPr>
        <w:t>S</w:t>
      </w:r>
      <w:r>
        <w:rPr>
          <w:lang w:val="it-IT"/>
        </w:rPr>
        <w:t>ervizi di orientamento</w:t>
      </w:r>
    </w:p>
    <w:p w:rsidR="000C41FD" w:rsidRDefault="00232B90">
      <w:pPr>
        <w:numPr>
          <w:ilvl w:val="0"/>
          <w:numId w:val="11"/>
        </w:numPr>
        <w:jc w:val="both"/>
        <w:rPr>
          <w:lang w:val="it-IT"/>
        </w:rPr>
      </w:pPr>
      <w:r>
        <w:rPr>
          <w:lang w:val="it-IT"/>
        </w:rPr>
        <w:t>Uffici della formazione professionale</w:t>
      </w:r>
    </w:p>
    <w:p w:rsidR="000C41FD" w:rsidRDefault="00232B90">
      <w:pPr>
        <w:numPr>
          <w:ilvl w:val="0"/>
          <w:numId w:val="11"/>
        </w:numPr>
        <w:jc w:val="both"/>
        <w:rPr>
          <w:lang w:val="it-IT"/>
        </w:rPr>
      </w:pPr>
      <w:r>
        <w:rPr>
          <w:lang w:val="it-IT"/>
        </w:rPr>
        <w:t>Comuni</w:t>
      </w:r>
    </w:p>
    <w:p w:rsidR="000C41FD" w:rsidRDefault="000C41FD">
      <w:pPr>
        <w:ind w:left="720"/>
        <w:jc w:val="both"/>
        <w:rPr>
          <w:lang w:val="it-IT"/>
        </w:rPr>
      </w:pPr>
    </w:p>
    <w:p w:rsidR="000C41FD" w:rsidRDefault="000C41FD">
      <w:pPr>
        <w:ind w:left="720"/>
        <w:jc w:val="both"/>
        <w:rPr>
          <w:lang w:val="it-IT"/>
        </w:rPr>
      </w:pPr>
    </w:p>
    <w:p w:rsidR="000C41FD" w:rsidRDefault="00232B90">
      <w:pPr>
        <w:jc w:val="both"/>
        <w:rPr>
          <w:lang w:val="it-IT"/>
        </w:rPr>
      </w:pPr>
      <w:r>
        <w:rPr>
          <w:b/>
          <w:lang w:val="it-IT"/>
        </w:rPr>
        <w:t>Potenziali operatori</w:t>
      </w:r>
      <w:r>
        <w:rPr>
          <w:lang w:val="it-IT"/>
        </w:rPr>
        <w:t xml:space="preserve"> nell’ambito delle competenze di base degli adulti:</w:t>
      </w:r>
    </w:p>
    <w:p w:rsidR="000C41FD" w:rsidRDefault="00232B90">
      <w:pPr>
        <w:numPr>
          <w:ilvl w:val="0"/>
          <w:numId w:val="11"/>
        </w:numPr>
        <w:jc w:val="both"/>
        <w:rPr>
          <w:lang w:val="it-IT"/>
        </w:rPr>
      </w:pPr>
      <w:r>
        <w:rPr>
          <w:lang w:val="it-IT"/>
        </w:rPr>
        <w:t>Associazione «Lire et Ecrire»</w:t>
      </w:r>
    </w:p>
    <w:p w:rsidR="000C41FD" w:rsidRDefault="00232B90">
      <w:pPr>
        <w:numPr>
          <w:ilvl w:val="0"/>
          <w:numId w:val="11"/>
        </w:numPr>
        <w:jc w:val="both"/>
        <w:rPr>
          <w:lang w:val="it-IT"/>
        </w:rPr>
      </w:pPr>
      <w:r>
        <w:rPr>
          <w:lang w:val="it-IT"/>
        </w:rPr>
        <w:t xml:space="preserve">Università popolari </w:t>
      </w:r>
    </w:p>
    <w:p w:rsidR="000C41FD" w:rsidRDefault="00232B90">
      <w:pPr>
        <w:numPr>
          <w:ilvl w:val="0"/>
          <w:numId w:val="11"/>
        </w:numPr>
        <w:jc w:val="both"/>
        <w:rPr>
          <w:lang w:val="it-IT"/>
        </w:rPr>
      </w:pPr>
      <w:r>
        <w:rPr>
          <w:lang w:val="it-IT"/>
        </w:rPr>
        <w:t xml:space="preserve">Pro Senectute, </w:t>
      </w:r>
    </w:p>
    <w:p w:rsidR="000C41FD" w:rsidRDefault="00232B90">
      <w:pPr>
        <w:numPr>
          <w:ilvl w:val="0"/>
          <w:numId w:val="11"/>
        </w:numPr>
        <w:jc w:val="both"/>
        <w:rPr>
          <w:lang w:val="it-IT"/>
        </w:rPr>
      </w:pPr>
      <w:r>
        <w:rPr>
          <w:lang w:val="it-IT"/>
        </w:rPr>
        <w:t xml:space="preserve">Istituti di formazione per adulti, </w:t>
      </w:r>
    </w:p>
    <w:p w:rsidR="000C41FD" w:rsidRDefault="00232B90">
      <w:pPr>
        <w:numPr>
          <w:ilvl w:val="0"/>
          <w:numId w:val="11"/>
        </w:numPr>
        <w:jc w:val="both"/>
        <w:rPr>
          <w:lang w:val="it-IT"/>
        </w:rPr>
      </w:pPr>
      <w:r>
        <w:rPr>
          <w:lang w:val="it-IT"/>
        </w:rPr>
        <w:t>Organizzazi</w:t>
      </w:r>
      <w:r>
        <w:rPr>
          <w:lang w:val="it-IT"/>
        </w:rPr>
        <w:t>oni che offrono formazioni per determinati gruppi target (donne, migranti, giovani che hanno interrotto il tirocinio, ecc.)</w:t>
      </w:r>
    </w:p>
    <w:p w:rsidR="000C41FD" w:rsidRDefault="00232B90">
      <w:pPr>
        <w:numPr>
          <w:ilvl w:val="0"/>
          <w:numId w:val="11"/>
        </w:numPr>
        <w:jc w:val="both"/>
        <w:rPr>
          <w:lang w:val="it-IT"/>
        </w:rPr>
      </w:pPr>
      <w:r>
        <w:rPr>
          <w:lang w:val="it-IT"/>
        </w:rPr>
        <w:t>Offerte transitorie</w:t>
      </w:r>
    </w:p>
    <w:p w:rsidR="000C41FD" w:rsidRDefault="00232B90">
      <w:pPr>
        <w:numPr>
          <w:ilvl w:val="0"/>
          <w:numId w:val="11"/>
        </w:numPr>
        <w:jc w:val="both"/>
        <w:rPr>
          <w:lang w:val="it-IT"/>
        </w:rPr>
      </w:pPr>
      <w:r>
        <w:rPr>
          <w:lang w:val="it-IT"/>
        </w:rPr>
        <w:t>Associazioni che promuovono la lingua italiana, francese o tedesca</w:t>
      </w:r>
    </w:p>
    <w:p w:rsidR="000C41FD" w:rsidRDefault="00232B90">
      <w:pPr>
        <w:numPr>
          <w:ilvl w:val="0"/>
          <w:numId w:val="11"/>
        </w:numPr>
        <w:jc w:val="both"/>
        <w:rPr>
          <w:lang w:val="it-IT"/>
        </w:rPr>
      </w:pPr>
      <w:r>
        <w:rPr>
          <w:lang w:val="it-IT"/>
        </w:rPr>
        <w:t>Scuole professionali</w:t>
      </w:r>
    </w:p>
    <w:p w:rsidR="000C41FD" w:rsidRDefault="000C41FD">
      <w:pPr>
        <w:jc w:val="both"/>
        <w:rPr>
          <w:lang w:val="it-IT"/>
        </w:rPr>
      </w:pPr>
    </w:p>
    <w:sectPr w:rsidR="000C41FD">
      <w:footerReference w:type="default" r:id="rId9"/>
      <w:headerReference w:type="first" r:id="rId10"/>
      <w:pgSz w:w="11907" w:h="16839"/>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1FD" w:rsidRDefault="00232B90">
      <w:pPr>
        <w:spacing w:line="240" w:lineRule="auto"/>
      </w:pPr>
      <w:r>
        <w:separator/>
      </w:r>
    </w:p>
  </w:endnote>
  <w:endnote w:type="continuationSeparator" w:id="0">
    <w:p w:rsidR="000C41FD" w:rsidRDefault="00232B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90" w:type="dxa"/>
      <w:tblLayout w:type="fixed"/>
      <w:tblLook w:val="01E0" w:firstRow="1" w:lastRow="1" w:firstColumn="1" w:lastColumn="1" w:noHBand="0" w:noVBand="0"/>
    </w:tblPr>
    <w:tblGrid>
      <w:gridCol w:w="9890"/>
    </w:tblGrid>
    <w:tr w:rsidR="000C41FD">
      <w:trPr>
        <w:trHeight w:val="567"/>
      </w:trPr>
      <w:tc>
        <w:tcPr>
          <w:tcW w:w="2552" w:type="dxa"/>
          <w:vAlign w:val="bottom"/>
        </w:tcPr>
        <w:p w:rsidR="000C41FD" w:rsidRDefault="00232B90">
          <w:pPr>
            <w:pStyle w:val="zzSeite"/>
          </w:pPr>
          <w:r>
            <w:fldChar w:fldCharType="begin"/>
          </w:r>
          <w:r>
            <w:instrText xml:space="preserve"> PAGE </w:instrText>
          </w:r>
          <w:r>
            <w:fldChar w:fldCharType="separate"/>
          </w:r>
          <w:r>
            <w:rPr>
              <w:noProof/>
            </w:rPr>
            <w:t>4</w:t>
          </w:r>
          <w:r>
            <w:rPr>
              <w:noProof/>
            </w:rPr>
            <w:fldChar w:fldCharType="end"/>
          </w:r>
          <w:r>
            <w:t>/</w:t>
          </w:r>
          <w:r>
            <w:fldChar w:fldCharType="begin"/>
          </w:r>
          <w:r>
            <w:instrText xml:space="preserve"> NUMPAGES </w:instrText>
          </w:r>
          <w:r>
            <w:fldChar w:fldCharType="separate"/>
          </w:r>
          <w:r>
            <w:rPr>
              <w:noProof/>
            </w:rPr>
            <w:t>4</w:t>
          </w:r>
          <w:r>
            <w:rPr>
              <w:noProof/>
            </w:rPr>
            <w:fldChar w:fldCharType="end"/>
          </w:r>
        </w:p>
      </w:tc>
    </w:tr>
  </w:tbl>
  <w:p w:rsidR="000C41FD" w:rsidRDefault="000C41F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1FD" w:rsidRDefault="00232B90">
      <w:pPr>
        <w:spacing w:line="240" w:lineRule="auto"/>
      </w:pPr>
      <w:r>
        <w:separator/>
      </w:r>
    </w:p>
  </w:footnote>
  <w:footnote w:type="continuationSeparator" w:id="0">
    <w:p w:rsidR="000C41FD" w:rsidRDefault="00232B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32" w:type="dxa"/>
      <w:tblInd w:w="-510" w:type="dxa"/>
      <w:tblLayout w:type="fixed"/>
      <w:tblLook w:val="01E0" w:firstRow="1" w:lastRow="1" w:firstColumn="1" w:lastColumn="1" w:noHBand="0" w:noVBand="0"/>
    </w:tblPr>
    <w:tblGrid>
      <w:gridCol w:w="4832"/>
      <w:gridCol w:w="5000"/>
    </w:tblGrid>
    <w:tr w:rsidR="000C41FD">
      <w:trPr>
        <w:cantSplit/>
        <w:trHeight w:hRule="exact" w:val="1843"/>
      </w:trPr>
      <w:tc>
        <w:tcPr>
          <w:tcW w:w="4832" w:type="dxa"/>
          <w:hideMark/>
        </w:tcPr>
        <w:p w:rsidR="000C41FD" w:rsidRDefault="00232B90">
          <w:pPr>
            <w:rPr>
              <w:szCs w:val="24"/>
            </w:rPr>
          </w:pPr>
          <w:r>
            <w:rPr>
              <w:noProof/>
              <w:lang w:eastAsia="de-CH"/>
            </w:rPr>
            <w:drawing>
              <wp:anchor distT="0" distB="0" distL="114300" distR="114300" simplePos="0" relativeHeight="251657216"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5"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58240"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C0911A" id="LogoCol" o:spid="_x0000_s1026" style="position:absolute;margin-left:-4.25pt;margin-top:.55pt;width:155.9pt;height:38.75pt;z-index:251658240;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5000" w:type="dxa"/>
        </w:tcPr>
        <w:p w:rsidR="000C41FD" w:rsidRDefault="00232B90">
          <w:pPr>
            <w:suppressAutoHyphens/>
            <w:spacing w:line="200" w:lineRule="atLeast"/>
            <w:ind w:left="-68" w:right="-249"/>
            <w:rPr>
              <w:rFonts w:eastAsia="Times New Roman"/>
              <w:noProof/>
              <w:sz w:val="15"/>
              <w:szCs w:val="20"/>
              <w:lang w:val="it-IT" w:eastAsia="de-CH"/>
            </w:rPr>
          </w:pPr>
          <w:bookmarkStart w:id="8" w:name="OLE_LINK1"/>
          <w:r>
            <w:rPr>
              <w:rFonts w:eastAsia="Times New Roman"/>
              <w:noProof/>
              <w:sz w:val="15"/>
              <w:szCs w:val="20"/>
              <w:lang w:val="it-IT" w:eastAsia="de-CH"/>
            </w:rPr>
            <w:t xml:space="preserve">Dipartimento federale dell’economia, </w:t>
          </w:r>
        </w:p>
        <w:p w:rsidR="000C41FD" w:rsidRDefault="00232B90">
          <w:pPr>
            <w:suppressAutoHyphens/>
            <w:spacing w:after="100" w:line="200" w:lineRule="atLeast"/>
            <w:ind w:left="-68" w:right="-249"/>
            <w:rPr>
              <w:rFonts w:eastAsia="Times New Roman"/>
              <w:noProof/>
              <w:sz w:val="15"/>
              <w:szCs w:val="20"/>
              <w:lang w:val="it-IT" w:eastAsia="de-CH"/>
            </w:rPr>
          </w:pPr>
          <w:r>
            <w:rPr>
              <w:rFonts w:eastAsia="Times New Roman"/>
              <w:noProof/>
              <w:sz w:val="15"/>
              <w:szCs w:val="20"/>
              <w:lang w:val="it-IT" w:eastAsia="de-CH"/>
            </w:rPr>
            <w:t>della formazione e della ricerca DEFR</w:t>
          </w:r>
        </w:p>
        <w:p w:rsidR="000C41FD" w:rsidRDefault="00232B90">
          <w:pPr>
            <w:suppressAutoHyphens/>
            <w:spacing w:line="200" w:lineRule="atLeast"/>
            <w:ind w:left="-69"/>
            <w:rPr>
              <w:rFonts w:eastAsia="Times New Roman"/>
              <w:b/>
              <w:noProof/>
              <w:sz w:val="15"/>
              <w:szCs w:val="20"/>
              <w:lang w:val="it-IT" w:eastAsia="de-CH"/>
            </w:rPr>
          </w:pPr>
          <w:r>
            <w:rPr>
              <w:rFonts w:eastAsia="Times New Roman"/>
              <w:b/>
              <w:noProof/>
              <w:sz w:val="15"/>
              <w:szCs w:val="20"/>
              <w:lang w:val="it-IT" w:eastAsia="de-CH"/>
            </w:rPr>
            <w:t>Segreteria di Stato per la formazione,</w:t>
          </w:r>
        </w:p>
        <w:p w:rsidR="000C41FD" w:rsidRDefault="00232B90">
          <w:pPr>
            <w:suppressAutoHyphens/>
            <w:spacing w:line="200" w:lineRule="atLeast"/>
            <w:ind w:left="-69"/>
            <w:rPr>
              <w:rFonts w:eastAsia="Times New Roman"/>
              <w:b/>
              <w:noProof/>
              <w:sz w:val="15"/>
              <w:szCs w:val="20"/>
              <w:lang w:eastAsia="de-CH"/>
            </w:rPr>
          </w:pPr>
          <w:r>
            <w:rPr>
              <w:rFonts w:eastAsia="Times New Roman"/>
              <w:b/>
              <w:noProof/>
              <w:sz w:val="15"/>
              <w:szCs w:val="20"/>
              <w:lang w:eastAsia="de-CH"/>
            </w:rPr>
            <w:t>la ricerca e l’innovazione SEFRI</w:t>
          </w:r>
        </w:p>
        <w:bookmarkEnd w:id="8"/>
        <w:p w:rsidR="000C41FD" w:rsidRDefault="00232B90">
          <w:pPr>
            <w:pStyle w:val="zzKopfFett"/>
            <w:ind w:left="-69"/>
            <w:rPr>
              <w:b w:val="0"/>
            </w:rPr>
          </w:pPr>
          <w:r>
            <w:rPr>
              <w:b w:val="0"/>
            </w:rPr>
            <w:t xml:space="preserve"> </w:t>
          </w:r>
        </w:p>
        <w:p w:rsidR="000C41FD" w:rsidRDefault="000C41FD">
          <w:pPr>
            <w:pStyle w:val="zzKopfOE"/>
            <w:rPr>
              <w:lang w:val="de-DE"/>
            </w:rPr>
          </w:pPr>
        </w:p>
      </w:tc>
    </w:tr>
  </w:tbl>
  <w:p w:rsidR="000C41FD" w:rsidRDefault="000C41FD">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8FEEB74"/>
    <w:lvl w:ilvl="0">
      <w:start w:val="1"/>
      <w:numFmt w:val="decimal"/>
      <w:lvlText w:val="%1."/>
      <w:lvlJc w:val="left"/>
      <w:pPr>
        <w:tabs>
          <w:tab w:val="num" w:pos="360"/>
        </w:tabs>
        <w:ind w:left="360" w:hanging="360"/>
      </w:pPr>
      <w:rPr>
        <w:rFonts w:cs="Times New Roman"/>
      </w:rPr>
    </w:lvl>
  </w:abstractNum>
  <w:abstractNum w:abstractNumId="1" w15:restartNumberingAfterBreak="0">
    <w:nsid w:val="03E21264"/>
    <w:multiLevelType w:val="multilevel"/>
    <w:tmpl w:val="70AAC640"/>
    <w:lvl w:ilvl="0">
      <w:start w:val="1"/>
      <w:numFmt w:val="decimal"/>
      <w:pStyle w:val="Aufzhlung1fet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7450BCB"/>
    <w:multiLevelType w:val="hybridMultilevel"/>
    <w:tmpl w:val="93BAF4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ACF60FB"/>
    <w:multiLevelType w:val="hybridMultilevel"/>
    <w:tmpl w:val="43C2F220"/>
    <w:lvl w:ilvl="0" w:tplc="574C7DB4">
      <w:start w:val="1"/>
      <w:numFmt w:val="bullet"/>
      <w:pStyle w:val="Aufzhlung1Ebene"/>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399B3A0F"/>
    <w:multiLevelType w:val="hybridMultilevel"/>
    <w:tmpl w:val="2056F33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ADD3B37"/>
    <w:multiLevelType w:val="hybridMultilevel"/>
    <w:tmpl w:val="F1A84BC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F3438B0"/>
    <w:multiLevelType w:val="hybridMultilevel"/>
    <w:tmpl w:val="D638B7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F4836CE"/>
    <w:multiLevelType w:val="hybridMultilevel"/>
    <w:tmpl w:val="24ECE9FE"/>
    <w:lvl w:ilvl="0" w:tplc="7056FAB4">
      <w:start w:val="1"/>
      <w:numFmt w:val="decimal"/>
      <w:lvlText w:val="%1."/>
      <w:lvlJc w:val="left"/>
      <w:pPr>
        <w:ind w:left="720" w:hanging="360"/>
      </w:pPr>
      <w:rPr>
        <w:rFonts w:cs="Times New Roman"/>
      </w:rPr>
    </w:lvl>
    <w:lvl w:ilvl="1" w:tplc="08070019">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8" w15:restartNumberingAfterBreak="0">
    <w:nsid w:val="5E163E56"/>
    <w:multiLevelType w:val="hybridMultilevel"/>
    <w:tmpl w:val="679674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608A515B"/>
    <w:multiLevelType w:val="hybridMultilevel"/>
    <w:tmpl w:val="8D50C18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63480B23"/>
    <w:multiLevelType w:val="hybridMultilevel"/>
    <w:tmpl w:val="679674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5296F71"/>
    <w:multiLevelType w:val="hybridMultilevel"/>
    <w:tmpl w:val="38E031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7B7226C0"/>
    <w:multiLevelType w:val="hybridMultilevel"/>
    <w:tmpl w:val="679674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7"/>
    <w:lvlOverride w:ilvl="0">
      <w:startOverride w:val="1"/>
    </w:lvlOverride>
  </w:num>
  <w:num w:numId="5">
    <w:abstractNumId w:val="8"/>
  </w:num>
  <w:num w:numId="6">
    <w:abstractNumId w:val="6"/>
  </w:num>
  <w:num w:numId="7">
    <w:abstractNumId w:val="4"/>
  </w:num>
  <w:num w:numId="8">
    <w:abstractNumId w:val="10"/>
  </w:num>
  <w:num w:numId="9">
    <w:abstractNumId w:val="12"/>
  </w:num>
  <w:num w:numId="10">
    <w:abstractNumId w:val="11"/>
  </w:num>
  <w:num w:numId="11">
    <w:abstractNumId w:val="5"/>
  </w:num>
  <w:num w:numId="12">
    <w:abstractNumId w:val="2"/>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activeWritingStyle w:appName="MSWord" w:lang="it-IT" w:vendorID="64" w:dllVersion="131078" w:nlCheck="1" w:checkStyle="0"/>
  <w:activeWritingStyle w:appName="MSWord" w:lang="de-CH" w:vendorID="64" w:dllVersion="131078" w:nlCheck="1" w:checkStyle="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ita"/>
    <w:docVar w:name="TermBases" w:val="BK_CD-Bund_2015|SLI"/>
    <w:docVar w:name="TermBaseURL" w:val="empty"/>
    <w:docVar w:name="TextBases" w:val="sf00046a.adb.intra.admin.ch\TextBase TMs\SLI\SLI_SEFRI|sf00046a.adb.intra.admin.ch\TextBase TMs\_WBF\SLC RS 1612 n|sf00046a.adb.intra.admin.ch\TextBase TMs\_WBF\SLC-I Messaggi|sf00046a.adb.intra.admin.ch\TextBase TMs\_WBF\SLC-I Rapporti|sf00046a.adb.intra.admin.ch\TextBase TMs\SLI\SLI_Trados_FR-IT_BBT|sf00046a.adb.intra.admin.ch\TextBase TMs\SLI\SLI_Trados_FR-IT_gen"/>
    <w:docVar w:name="TextBaseURL" w:val="empty"/>
    <w:docVar w:name="UILng" w:val="fr"/>
  </w:docVars>
  <w:rsids>
    <w:rsidRoot w:val="000C41FD"/>
    <w:rsid w:val="000C41FD"/>
    <w:rsid w:val="0023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4B0A9FBB-72BF-45AB-846C-1D4C669ED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atLeast"/>
    </w:pPr>
    <w:rPr>
      <w:rFonts w:ascii="Arial" w:hAnsi="Arial" w:cs="Arial"/>
      <w:sz w:val="22"/>
      <w:szCs w:val="22"/>
      <w:lang w:val="de-CH"/>
    </w:rPr>
  </w:style>
  <w:style w:type="paragraph" w:styleId="berschrift1">
    <w:name w:val="heading 1"/>
    <w:basedOn w:val="Standard"/>
    <w:next w:val="Standard"/>
    <w:link w:val="berschrift1Zchn"/>
    <w:uiPriority w:val="9"/>
    <w:qFormat/>
    <w:pPr>
      <w:keepNext/>
      <w:spacing w:before="240" w:after="60"/>
      <w:outlineLvl w:val="0"/>
    </w:pPr>
    <w:rPr>
      <w:rFonts w:ascii="Calibri Light" w:eastAsia="Times New Roman" w:hAnsi="Calibri Light" w:cs="Times New Roman"/>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link w:val="00VorgabetextZchn"/>
    <w:qFormat/>
    <w:pPr>
      <w:tabs>
        <w:tab w:val="left" w:pos="397"/>
        <w:tab w:val="left" w:pos="794"/>
        <w:tab w:val="left" w:pos="1191"/>
        <w:tab w:val="left" w:pos="4479"/>
        <w:tab w:val="left" w:pos="4876"/>
        <w:tab w:val="left" w:pos="5273"/>
        <w:tab w:val="left" w:pos="5670"/>
        <w:tab w:val="left" w:pos="6067"/>
        <w:tab w:val="decimal" w:pos="7937"/>
      </w:tabs>
      <w:spacing w:before="120" w:line="240" w:lineRule="auto"/>
    </w:pPr>
    <w:rPr>
      <w:rFonts w:eastAsia="Times New Roman" w:cs="Times New Roman"/>
      <w:lang w:eastAsia="de-CH"/>
    </w:rPr>
  </w:style>
  <w:style w:type="character" w:styleId="Hyperlink">
    <w:name w:val="Hyperlink"/>
    <w:uiPriority w:val="99"/>
    <w:rPr>
      <w:rFonts w:cs="Times New Roman"/>
      <w:color w:val="006AD4"/>
      <w:u w:val="single"/>
    </w:rPr>
  </w:style>
  <w:style w:type="character" w:customStyle="1" w:styleId="00VorgabetextZchn">
    <w:name w:val="00 Vorgabetext Zchn"/>
    <w:link w:val="00Vorgabetext"/>
    <w:locked/>
    <w:rPr>
      <w:rFonts w:ascii="Arial" w:eastAsia="Times New Roman" w:hAnsi="Arial"/>
      <w:sz w:val="22"/>
      <w:szCs w:val="22"/>
    </w:rPr>
  </w:style>
  <w:style w:type="paragraph" w:customStyle="1" w:styleId="Aufzhlung1Ebene">
    <w:name w:val="_Aufzählung 1. Ebene"/>
    <w:basedOn w:val="Standard"/>
    <w:pPr>
      <w:numPr>
        <w:numId w:val="2"/>
      </w:numPr>
      <w:tabs>
        <w:tab w:val="left" w:pos="794"/>
        <w:tab w:val="left" w:pos="1191"/>
        <w:tab w:val="left" w:pos="4479"/>
        <w:tab w:val="left" w:pos="4876"/>
        <w:tab w:val="left" w:pos="5273"/>
        <w:tab w:val="left" w:pos="5670"/>
        <w:tab w:val="left" w:pos="6067"/>
        <w:tab w:val="decimal" w:pos="7937"/>
      </w:tabs>
      <w:spacing w:before="120" w:line="240" w:lineRule="auto"/>
    </w:pPr>
    <w:rPr>
      <w:rFonts w:eastAsia="Times New Roman" w:cs="Times New Roman"/>
      <w:lang w:eastAsia="de-CH"/>
    </w:rPr>
  </w:style>
  <w:style w:type="paragraph" w:customStyle="1" w:styleId="00fett12">
    <w:name w:val="_00 fett 12"/>
    <w:basedOn w:val="00Vorgabetext"/>
    <w:rPr>
      <w:b/>
      <w:sz w:val="24"/>
    </w:rPr>
  </w:style>
  <w:style w:type="paragraph" w:customStyle="1" w:styleId="Aufzhlung1fett">
    <w:name w:val="_ Aufzählung 1. fett"/>
    <w:basedOn w:val="00Vorgabetext"/>
    <w:pPr>
      <w:numPr>
        <w:numId w:val="14"/>
      </w:numPr>
      <w:tabs>
        <w:tab w:val="clear" w:pos="397"/>
        <w:tab w:val="clear" w:pos="794"/>
        <w:tab w:val="clear" w:pos="1191"/>
        <w:tab w:val="clear" w:pos="4479"/>
        <w:tab w:val="clear" w:pos="4876"/>
        <w:tab w:val="clear" w:pos="5273"/>
        <w:tab w:val="clear" w:pos="5670"/>
        <w:tab w:val="clear" w:pos="6067"/>
        <w:tab w:val="clear" w:pos="7937"/>
        <w:tab w:val="num" w:pos="1492"/>
      </w:tabs>
      <w:ind w:left="1492"/>
    </w:pPr>
    <w:rPr>
      <w:rFonts w:cs="Calibri"/>
      <w:b/>
      <w:szCs w:val="20"/>
    </w:rPr>
  </w:style>
  <w:style w:type="paragraph" w:customStyle="1" w:styleId="Aufzhlung1nichtfett">
    <w:name w:val="_ Aufzählung 1. nicht fett"/>
    <w:basedOn w:val="Aufzhlung1fett"/>
    <w:rPr>
      <w:b w:val="0"/>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Arial"/>
      <w:b/>
      <w:bCs/>
      <w:lang w:eastAsia="en-US"/>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lang w:eastAsia="en-US"/>
    </w:rPr>
  </w:style>
  <w:style w:type="table" w:styleId="Tabellenraster">
    <w:name w:val="Table Grid"/>
    <w:basedOn w:val="NormaleTabelle"/>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link w:val="Kopfzeile"/>
    <w:uiPriority w:val="99"/>
    <w:rPr>
      <w:rFonts w:ascii="Arial" w:hAnsi="Arial" w:cs="Arial"/>
      <w:sz w:val="22"/>
      <w:szCs w:val="22"/>
      <w:lang w:eastAsia="en-US"/>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link w:val="Fuzeile"/>
    <w:uiPriority w:val="99"/>
    <w:rPr>
      <w:rFonts w:ascii="Arial" w:hAnsi="Arial" w:cs="Arial"/>
      <w:sz w:val="22"/>
      <w:szCs w:val="22"/>
      <w:lang w:eastAsia="en-US"/>
    </w:rPr>
  </w:style>
  <w:style w:type="paragraph" w:customStyle="1" w:styleId="zzKopfFett">
    <w:name w:val="zz KopfFett"/>
    <w:next w:val="Kopfzeile"/>
    <w:pPr>
      <w:suppressAutoHyphens/>
      <w:spacing w:line="200" w:lineRule="atLeast"/>
    </w:pPr>
    <w:rPr>
      <w:rFonts w:ascii="Arial" w:eastAsia="Times New Roman" w:hAnsi="Arial"/>
      <w:b/>
      <w:noProof/>
      <w:sz w:val="15"/>
      <w:lang w:val="de-CH" w:eastAsia="de-CH"/>
    </w:rPr>
  </w:style>
  <w:style w:type="paragraph" w:customStyle="1" w:styleId="zzKopfOE">
    <w:name w:val="zz KopfOE"/>
    <w:pPr>
      <w:spacing w:line="200" w:lineRule="atLeast"/>
    </w:pPr>
    <w:rPr>
      <w:rFonts w:ascii="Arial" w:eastAsia="Times New Roman" w:hAnsi="Arial"/>
      <w:noProof/>
      <w:sz w:val="15"/>
      <w:szCs w:val="24"/>
      <w:lang w:val="de-CH" w:eastAsia="de-DE"/>
    </w:rPr>
  </w:style>
  <w:style w:type="paragraph" w:customStyle="1" w:styleId="zzRef">
    <w:name w:val="zz Ref"/>
    <w:basedOn w:val="Standard"/>
    <w:next w:val="Standard"/>
    <w:pPr>
      <w:spacing w:line="200" w:lineRule="atLeast"/>
    </w:pPr>
    <w:rPr>
      <w:rFonts w:eastAsia="Times New Roman" w:cs="Times New Roman"/>
      <w:sz w:val="15"/>
    </w:rPr>
  </w:style>
  <w:style w:type="paragraph" w:customStyle="1" w:styleId="zzSeite">
    <w:name w:val="zz Seite"/>
    <w:pPr>
      <w:spacing w:line="200" w:lineRule="atLeast"/>
      <w:jc w:val="right"/>
    </w:pPr>
    <w:rPr>
      <w:rFonts w:ascii="Arial" w:eastAsia="Times New Roman" w:hAnsi="Arial"/>
      <w:sz w:val="14"/>
      <w:szCs w:val="24"/>
      <w:lang w:val="de-CH"/>
    </w:rPr>
  </w:style>
  <w:style w:type="character" w:customStyle="1" w:styleId="berschrift1Zchn">
    <w:name w:val="Überschrift 1 Zchn"/>
    <w:link w:val="berschrift1"/>
    <w:uiPriority w:val="9"/>
    <w:rPr>
      <w:rFonts w:ascii="Calibri Light" w:eastAsia="Times New Roman" w:hAnsi="Calibri Light" w:cs="Times New Roman"/>
      <w:b/>
      <w:bCs/>
      <w:kern w:val="32"/>
      <w:sz w:val="32"/>
      <w:szCs w:val="32"/>
      <w:lang w:eastAsia="en-US"/>
    </w:rPr>
  </w:style>
  <w:style w:type="paragraph" w:styleId="Inhaltsverzeichnisberschrift">
    <w:name w:val="TOC Heading"/>
    <w:basedOn w:val="berschrift1"/>
    <w:next w:val="Standard"/>
    <w:uiPriority w:val="39"/>
    <w:unhideWhenUsed/>
    <w:qFormat/>
    <w:pPr>
      <w:keepLines/>
      <w:spacing w:after="0" w:line="259" w:lineRule="auto"/>
      <w:outlineLvl w:val="9"/>
    </w:pPr>
    <w:rPr>
      <w:b w:val="0"/>
      <w:bCs w:val="0"/>
      <w:color w:val="2E74B5"/>
      <w:kern w:val="0"/>
      <w:lang w:eastAsia="de-CH"/>
    </w:rPr>
  </w:style>
  <w:style w:type="paragraph" w:styleId="Verzeichnis1">
    <w:name w:val="toc 1"/>
    <w:basedOn w:val="Standard"/>
    <w:next w:val="Standard"/>
    <w:autoRedefine/>
    <w:uiPriority w:val="39"/>
    <w:unhideWhenUsed/>
  </w:style>
  <w:style w:type="character" w:styleId="BesuchterHyperlink">
    <w:name w:val="FollowedHyperlink"/>
    <w:uiPriority w:val="99"/>
    <w:semiHidden/>
    <w:unhideWhenUsed/>
    <w:rPr>
      <w:color w:val="954F72"/>
      <w:u w:val="single"/>
    </w:rPr>
  </w:style>
  <w:style w:type="paragraph" w:styleId="berarbeitung">
    <w:name w:val="Revision"/>
    <w:hidden/>
    <w:uiPriority w:val="99"/>
    <w:semiHidden/>
    <w:rPr>
      <w:rFonts w:ascii="Arial" w:hAnsi="Arial" w:cs="Arial"/>
      <w:sz w:val="22"/>
      <w:szCs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3668">
      <w:bodyDiv w:val="1"/>
      <w:marLeft w:val="0"/>
      <w:marRight w:val="0"/>
      <w:marTop w:val="0"/>
      <w:marBottom w:val="0"/>
      <w:divBdr>
        <w:top w:val="none" w:sz="0" w:space="0" w:color="auto"/>
        <w:left w:val="none" w:sz="0" w:space="0" w:color="auto"/>
        <w:bottom w:val="none" w:sz="0" w:space="0" w:color="auto"/>
        <w:right w:val="none" w:sz="0" w:space="0" w:color="auto"/>
      </w:divBdr>
    </w:div>
    <w:div w:id="1550267461">
      <w:bodyDiv w:val="1"/>
      <w:marLeft w:val="0"/>
      <w:marRight w:val="0"/>
      <w:marTop w:val="0"/>
      <w:marBottom w:val="0"/>
      <w:divBdr>
        <w:top w:val="none" w:sz="0" w:space="0" w:color="auto"/>
        <w:left w:val="none" w:sz="0" w:space="0" w:color="auto"/>
        <w:bottom w:val="none" w:sz="0" w:space="0" w:color="auto"/>
        <w:right w:val="none" w:sz="0" w:space="0" w:color="auto"/>
      </w:divBdr>
    </w:div>
    <w:div w:id="159987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leitung_IT"/>
    <f:field ref="objsubject" par="" edit="true" text=""/>
    <f:field ref="objcreatedby" par="" text="Widmer, Priska, SBFI"/>
    <f:field ref="objcreatedat" par="" text="10.04.2017 08:43:14"/>
    <f:field ref="objchangedby" par="" text="Widmer, Priska, SBFI"/>
    <f:field ref="objmodifiedat" par="" text="10.04.2017 08:43:20"/>
    <f:field ref="doc_FSCFOLIO_1_1001_FieldDocumentNumber" par="" text=""/>
    <f:field ref="doc_FSCFOLIO_1_1001_FieldSubject" par="" edit="true" text=""/>
    <f:field ref="FSCFOLIO_1_1001_FieldCurrentUser" par="" text="SBFI  Priska Widmer"/>
    <f:field ref="CCAPRECONFIG_15_1001_Objektname" par="" edit="true" text="Anleitung_IT"/>
    <f:field ref="CHPRECONFIG_1_1001_Objektname" par="" edit="true" text="Anleitung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4AAC5D9-F74B-46E6-9FD4-604E9AC58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7268</Characters>
  <Application>Microsoft Office Word</Application>
  <DocSecurity>4</DocSecurity>
  <Lines>60</Lines>
  <Paragraphs>16</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8365</CharactersWithSpaces>
  <SharedDoc>false</SharedDoc>
  <HLinks>
    <vt:vector size="42" baseType="variant">
      <vt:variant>
        <vt:i4>1048626</vt:i4>
      </vt:variant>
      <vt:variant>
        <vt:i4>38</vt:i4>
      </vt:variant>
      <vt:variant>
        <vt:i4>0</vt:i4>
      </vt:variant>
      <vt:variant>
        <vt:i4>5</vt:i4>
      </vt:variant>
      <vt:variant>
        <vt:lpwstr/>
      </vt:variant>
      <vt:variant>
        <vt:lpwstr>_Toc476037379</vt:lpwstr>
      </vt:variant>
      <vt:variant>
        <vt:i4>1048626</vt:i4>
      </vt:variant>
      <vt:variant>
        <vt:i4>32</vt:i4>
      </vt:variant>
      <vt:variant>
        <vt:i4>0</vt:i4>
      </vt:variant>
      <vt:variant>
        <vt:i4>5</vt:i4>
      </vt:variant>
      <vt:variant>
        <vt:lpwstr/>
      </vt:variant>
      <vt:variant>
        <vt:lpwstr>_Toc476037378</vt:lpwstr>
      </vt:variant>
      <vt:variant>
        <vt:i4>1048626</vt:i4>
      </vt:variant>
      <vt:variant>
        <vt:i4>26</vt:i4>
      </vt:variant>
      <vt:variant>
        <vt:i4>0</vt:i4>
      </vt:variant>
      <vt:variant>
        <vt:i4>5</vt:i4>
      </vt:variant>
      <vt:variant>
        <vt:lpwstr/>
      </vt:variant>
      <vt:variant>
        <vt:lpwstr>_Toc476037377</vt:lpwstr>
      </vt:variant>
      <vt:variant>
        <vt:i4>1048626</vt:i4>
      </vt:variant>
      <vt:variant>
        <vt:i4>20</vt:i4>
      </vt:variant>
      <vt:variant>
        <vt:i4>0</vt:i4>
      </vt:variant>
      <vt:variant>
        <vt:i4>5</vt:i4>
      </vt:variant>
      <vt:variant>
        <vt:lpwstr/>
      </vt:variant>
      <vt:variant>
        <vt:lpwstr>_Toc476037376</vt:lpwstr>
      </vt:variant>
      <vt:variant>
        <vt:i4>1048626</vt:i4>
      </vt:variant>
      <vt:variant>
        <vt:i4>14</vt:i4>
      </vt:variant>
      <vt:variant>
        <vt:i4>0</vt:i4>
      </vt:variant>
      <vt:variant>
        <vt:i4>5</vt:i4>
      </vt:variant>
      <vt:variant>
        <vt:lpwstr/>
      </vt:variant>
      <vt:variant>
        <vt:lpwstr>_Toc476037375</vt:lpwstr>
      </vt:variant>
      <vt:variant>
        <vt:i4>1048626</vt:i4>
      </vt:variant>
      <vt:variant>
        <vt:i4>8</vt:i4>
      </vt:variant>
      <vt:variant>
        <vt:i4>0</vt:i4>
      </vt:variant>
      <vt:variant>
        <vt:i4>5</vt:i4>
      </vt:variant>
      <vt:variant>
        <vt:lpwstr/>
      </vt:variant>
      <vt:variant>
        <vt:lpwstr>_Toc476037374</vt:lpwstr>
      </vt:variant>
      <vt:variant>
        <vt:i4>1048626</vt:i4>
      </vt:variant>
      <vt:variant>
        <vt:i4>2</vt:i4>
      </vt:variant>
      <vt:variant>
        <vt:i4>0</vt:i4>
      </vt:variant>
      <vt:variant>
        <vt:i4>5</vt:i4>
      </vt:variant>
      <vt:variant>
        <vt:lpwstr/>
      </vt:variant>
      <vt:variant>
        <vt:lpwstr>_Toc476037373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Kuratli Theres SBFI</dc:creator>
  <cp:keywords/>
  <dc:description/>
  <cp:lastModifiedBy>Widmer Priska SBFI</cp:lastModifiedBy>
  <cp:revision>2</cp:revision>
  <dcterms:created xsi:type="dcterms:W3CDTF">2017-07-13T07:52:00Z</dcterms:created>
  <dcterms:modified xsi:type="dcterms:W3CDTF">2017-07-13T07:52:00Z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
  </property>
  <property fmtid="{D5CDD505-2E9C-101B-9397-08002B2CF9AE}" pid="3" name="FSC#EVDCFG@15.1400:RespOrgHome3">
    <vt:lpwstr/>
  </property>
  <property fmtid="{D5CDD505-2E9C-101B-9397-08002B2CF9AE}" pid="4" name="FSC#EVDCFG@15.1400:RespOrgHome4">
    <vt:lpwstr/>
  </property>
  <property fmtid="{D5CDD505-2E9C-101B-9397-08002B2CF9AE}" pid="5" name="FSC#EVDCFG@15.1400:RespOrgStreet2">
    <vt:lpwstr/>
  </property>
  <property fmtid="{D5CDD505-2E9C-101B-9397-08002B2CF9AE}" pid="6" name="FSC#EVDCFG@15.1400:RespOrgStreet3">
    <vt:lpwstr/>
  </property>
  <property fmtid="{D5CDD505-2E9C-101B-9397-08002B2CF9AE}" pid="7" name="FSC#EVDCFG@15.1400:RespOrgStreet4">
    <vt:lpwstr/>
  </property>
  <property fmtid="{D5CDD505-2E9C-101B-9397-08002B2CF9AE}" pid="8" name="FSC#EVDCFG@15.1400:DocumentID">
    <vt:lpwstr/>
  </property>
  <property fmtid="{D5CDD505-2E9C-101B-9397-08002B2CF9AE}" pid="9" name="FSC#EVDCFG@15.1400:DossierBarCode">
    <vt:lpwstr/>
  </property>
  <property fmtid="{D5CDD505-2E9C-101B-9397-08002B2CF9AE}" pid="10" name="FSC#EVDCFG@15.1400:ActualVersionNumber">
    <vt:lpwstr>1</vt:lpwstr>
  </property>
  <property fmtid="{D5CDD505-2E9C-101B-9397-08002B2CF9AE}" pid="11" name="FSC#EVDCFG@15.1400:ActualVersionCreatedAt">
    <vt:lpwstr>2017-04-10T08:43:14</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EVDCFG@15.1400:PositionNumber">
    <vt:lpwstr>011</vt:lpwstr>
  </property>
  <property fmtid="{D5CDD505-2E9C-101B-9397-08002B2CF9AE}" pid="26" name="FSC#EVDCFG@15.1400:Dossierref">
    <vt:lpwstr>011/2011/03844</vt:lpwstr>
  </property>
  <property fmtid="{D5CDD505-2E9C-101B-9397-08002B2CF9AE}" pid="27" name="FSC#EVDCFG@15.1400:FileRespEmail">
    <vt:lpwstr/>
  </property>
  <property fmtid="{D5CDD505-2E9C-101B-9397-08002B2CF9AE}" pid="28" name="FSC#EVDCFG@15.1400:FileRespFax">
    <vt:lpwstr/>
  </property>
  <property fmtid="{D5CDD505-2E9C-101B-9397-08002B2CF9AE}" pid="29" name="FSC#EVDCFG@15.1400:FileRespHome">
    <vt:lpwstr/>
  </property>
  <property fmtid="{D5CDD505-2E9C-101B-9397-08002B2CF9AE}" pid="30" name="FSC#EVDCFG@15.1400:FileResponsible">
    <vt:lpwstr/>
  </property>
  <property fmtid="{D5CDD505-2E9C-101B-9397-08002B2CF9AE}" pid="31" name="FSC#EVDCFG@15.1400:UserInCharge">
    <vt:lpwstr/>
  </property>
  <property fmtid="{D5CDD505-2E9C-101B-9397-08002B2CF9AE}" pid="32" name="FSC#EVDCFG@15.1400:FileRespOrg">
    <vt:lpwstr>Beschwerdeverfahren und Recht</vt:lpwstr>
  </property>
  <property fmtid="{D5CDD505-2E9C-101B-9397-08002B2CF9AE}" pid="33" name="FSC#EVDCFG@15.1400:FileRespOrgHome">
    <vt:lpwstr>Bern</vt:lpwstr>
  </property>
  <property fmtid="{D5CDD505-2E9C-101B-9397-08002B2CF9AE}" pid="34" name="FSC#EVDCFG@15.1400:FileRespOrgStreet">
    <vt:lpwstr>Effingerstrasse 27</vt:lpwstr>
  </property>
  <property fmtid="{D5CDD505-2E9C-101B-9397-08002B2CF9AE}" pid="35" name="FSC#EVDCFG@15.1400:FileRespOrgZipCode">
    <vt:lpwstr>3003</vt:lpwstr>
  </property>
  <property fmtid="{D5CDD505-2E9C-101B-9397-08002B2CF9AE}" pid="36" name="FSC#EVDCFG@15.1400:FileRespshortsign">
    <vt:lpwstr/>
  </property>
  <property fmtid="{D5CDD505-2E9C-101B-9397-08002B2CF9AE}" pid="37" name="FSC#EVDCFG@15.1400:FileRespStreet">
    <vt:lpwstr/>
  </property>
  <property fmtid="{D5CDD505-2E9C-101B-9397-08002B2CF9AE}" pid="38" name="FSC#EVDCFG@15.1400:FileRespTel">
    <vt:lpwstr/>
  </property>
  <property fmtid="{D5CDD505-2E9C-101B-9397-08002B2CF9AE}" pid="39" name="FSC#EVDCFG@15.1400:FileRespZipCode">
    <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Anleitung_IT</vt:lpwstr>
  </property>
  <property fmtid="{D5CDD505-2E9C-101B-9397-08002B2CF9AE}" pid="53" name="FSC#EVDCFG@15.1400:UserFunction">
    <vt:lpwstr/>
  </property>
  <property fmtid="{D5CDD505-2E9C-101B-9397-08002B2CF9AE}" pid="54" name="FSC#EVDCFG@15.1400:SalutationEnglish">
    <vt:lpwstr/>
  </property>
  <property fmtid="{D5CDD505-2E9C-101B-9397-08002B2CF9AE}" pid="55" name="FSC#EVDCFG@15.1400:SalutationFrench">
    <vt:lpwstr>Procédures de recours et droit</vt:lpwstr>
  </property>
  <property fmtid="{D5CDD505-2E9C-101B-9397-08002B2CF9AE}" pid="56" name="FSC#EVDCFG@15.1400:SalutationGerman">
    <vt:lpwstr>Beschwerdeverfahren und Recht</vt:lpwstr>
  </property>
  <property fmtid="{D5CDD505-2E9C-101B-9397-08002B2CF9AE}" pid="57" name="FSC#EVDCFG@15.1400:SalutationItalian">
    <vt:lpwstr/>
  </property>
  <property fmtid="{D5CDD505-2E9C-101B-9397-08002B2CF9AE}" pid="58" name="FSC#EVDCFG@15.1400:SalutationEnglishUser">
    <vt:lpwstr/>
  </property>
  <property fmtid="{D5CDD505-2E9C-101B-9397-08002B2CF9AE}" pid="59" name="FSC#EVDCFG@15.1400:SalutationFrenchUser">
    <vt:lpwstr/>
  </property>
  <property fmtid="{D5CDD505-2E9C-101B-9397-08002B2CF9AE}" pid="60" name="FSC#EVDCFG@15.1400:SalutationGermanUser">
    <vt:lpwstr/>
  </property>
  <property fmtid="{D5CDD505-2E9C-101B-9397-08002B2CF9AE}" pid="61" name="FSC#EVDCFG@15.1400:SalutationItalianUser">
    <vt:lpwstr/>
  </property>
  <property fmtid="{D5CDD505-2E9C-101B-9397-08002B2CF9AE}" pid="62" name="FSC#EVDCFG@15.1400:FileRespOrgShortname">
    <vt:lpwstr>BUR / SBFI</vt:lpwstr>
  </property>
  <property fmtid="{D5CDD505-2E9C-101B-9397-08002B2CF9AE}" pid="63" name="FSC#EVDCFG@15.1400:ResponsibleEditorFirstname">
    <vt:lpwstr/>
  </property>
  <property fmtid="{D5CDD505-2E9C-101B-9397-08002B2CF9AE}" pid="64" name="FSC#EVDCFG@15.1400:ResponsibleEditorSurname">
    <vt:lpwstr/>
  </property>
  <property fmtid="{D5CDD505-2E9C-101B-9397-08002B2CF9AE}" pid="65" name="FSC#EVDCFG@15.1400:GroupTitle">
    <vt:lpwstr>Beschwerdeverfahren und Recht</vt:lpwstr>
  </property>
  <property fmtid="{D5CDD505-2E9C-101B-9397-08002B2CF9AE}" pid="66" name="FSC#COOELAK@1.1001:Subject">
    <vt:lpwstr/>
  </property>
  <property fmtid="{D5CDD505-2E9C-101B-9397-08002B2CF9AE}" pid="67" name="FSC#COOELAK@1.1001:FileReference">
    <vt:lpwstr>011/2011/03844</vt:lpwstr>
  </property>
  <property fmtid="{D5CDD505-2E9C-101B-9397-08002B2CF9AE}" pid="68" name="FSC#COOELAK@1.1001:FileRefYear">
    <vt:lpwstr>2011</vt:lpwstr>
  </property>
  <property fmtid="{D5CDD505-2E9C-101B-9397-08002B2CF9AE}" pid="69" name="FSC#COOELAK@1.1001:FileRefOrdinal">
    <vt:lpwstr>3844</vt:lpwstr>
  </property>
  <property fmtid="{D5CDD505-2E9C-101B-9397-08002B2CF9AE}" pid="70" name="FSC#COOELAK@1.1001:FileRefOU">
    <vt:lpwstr>BUR / SBFI</vt:lpwstr>
  </property>
  <property fmtid="{D5CDD505-2E9C-101B-9397-08002B2CF9AE}" pid="71" name="FSC#COOELAK@1.1001:Organization">
    <vt:lpwstr/>
  </property>
  <property fmtid="{D5CDD505-2E9C-101B-9397-08002B2CF9AE}" pid="72" name="FSC#COOELAK@1.1001:Owner">
    <vt:lpwstr>Widmer Priska, SBFI </vt:lpwstr>
  </property>
  <property fmtid="{D5CDD505-2E9C-101B-9397-08002B2CF9AE}" pid="73" name="FSC#COOELAK@1.1001:OwnerExtension">
    <vt:lpwstr>+41 58 460 84 75</vt:lpwstr>
  </property>
  <property fmtid="{D5CDD505-2E9C-101B-9397-08002B2CF9AE}" pid="74" name="FSC#COOELAK@1.1001:OwnerFaxExtension">
    <vt:lpwstr>+41 58 464 96 14</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Subvention und Projektförderung (SPF / SBFI)</vt:lpwstr>
  </property>
  <property fmtid="{D5CDD505-2E9C-101B-9397-08002B2CF9AE}" pid="80" name="FSC#COOELAK@1.1001:CreatedAt">
    <vt:lpwstr>10.04.2017</vt:lpwstr>
  </property>
  <property fmtid="{D5CDD505-2E9C-101B-9397-08002B2CF9AE}" pid="81" name="FSC#COOELAK@1.1001:OU">
    <vt:lpwstr>Beschwerdeverfahren und Recht (BUR / SBFI)</vt:lpwstr>
  </property>
  <property fmtid="{D5CDD505-2E9C-101B-9397-08002B2CF9AE}" pid="82" name="FSC#COOELAK@1.1001:Priority">
    <vt:lpwstr> ()</vt:lpwstr>
  </property>
  <property fmtid="{D5CDD505-2E9C-101B-9397-08002B2CF9AE}" pid="83" name="FSC#COOELAK@1.1001:ObjBarCode">
    <vt:lpwstr>*COO.2101.108.4.514042*</vt:lpwstr>
  </property>
  <property fmtid="{D5CDD505-2E9C-101B-9397-08002B2CF9AE}" pid="84" name="FSC#COOELAK@1.1001:RefBarCode">
    <vt:lpwstr>*COO.2101.108.3.514044*</vt:lpwstr>
  </property>
  <property fmtid="{D5CDD505-2E9C-101B-9397-08002B2CF9AE}" pid="85" name="FSC#COOELAK@1.1001:FileRefBarCode">
    <vt:lpwstr>*011/2011/03844*</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011</vt:lpwstr>
  </property>
  <property fmtid="{D5CDD505-2E9C-101B-9397-08002B2CF9AE}" pid="99" name="FSC#COOELAK@1.1001:CurrentUserRolePos">
    <vt:lpwstr>Sachbearbeiter/in</vt:lpwstr>
  </property>
  <property fmtid="{D5CDD505-2E9C-101B-9397-08002B2CF9AE}" pid="100" name="FSC#COOELAK@1.1001:CurrentUserEmail">
    <vt:lpwstr>priska.widmer@sbfi.admin.ch</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+41 31 324 96 15</vt:lpwstr>
  </property>
  <property fmtid="{D5CDD505-2E9C-101B-9397-08002B2CF9AE}" pid="110" name="FSC#ATSTATECFG@1.1001:DepartmentEmail">
    <vt:lpwstr>info@bbt.admin.ch</vt:lpwstr>
  </property>
  <property fmtid="{D5CDD505-2E9C-101B-9397-08002B2CF9AE}" pid="111" name="FSC#ATSTATECFG@1.1001:SubfileDate">
    <vt:lpwstr/>
  </property>
  <property fmtid="{D5CDD505-2E9C-101B-9397-08002B2CF9AE}" pid="112" name="FSC#ATSTATECFG@1.1001:SubfileSubject">
    <vt:lpwstr>Anleitung_IT</vt:lpwstr>
  </property>
  <property fmtid="{D5CDD505-2E9C-101B-9397-08002B2CF9AE}" pid="113" name="FSC#ATSTATECFG@1.1001:DepartmentZipCode">
    <vt:lpwstr>3003</vt:lpwstr>
  </property>
  <property fmtid="{D5CDD505-2E9C-101B-9397-08002B2CF9AE}" pid="114" name="FSC#ATSTATECFG@1.1001:DepartmentCountry">
    <vt:lpwstr/>
  </property>
  <property fmtid="{D5CDD505-2E9C-101B-9397-08002B2CF9AE}" pid="115" name="FSC#ATSTATECFG@1.1001:DepartmentCity">
    <vt:lpwstr>Bern</vt:lpwstr>
  </property>
  <property fmtid="{D5CDD505-2E9C-101B-9397-08002B2CF9AE}" pid="116" name="FSC#ATSTATECFG@1.1001:DepartmentStreet">
    <vt:lpwstr>Effingerstrasse 27</vt:lpwstr>
  </property>
  <property fmtid="{D5CDD505-2E9C-101B-9397-08002B2CF9AE}" pid="117" name="FSC#ATSTATECFG@1.1001:DepartmentDVR">
    <vt:lpwstr/>
  </property>
  <property fmtid="{D5CDD505-2E9C-101B-9397-08002B2CF9AE}" pid="118" name="FSC#ATSTATECFG@1.1001:DepartmentUID">
    <vt:lpwstr/>
  </property>
  <property fmtid="{D5CDD505-2E9C-101B-9397-08002B2CF9AE}" pid="119" name="FSC#ATSTATECFG@1.1001:SubfileReference">
    <vt:lpwstr>011/2011/03844/00031/00003/00004/00005/00022</vt:lpwstr>
  </property>
  <property fmtid="{D5CDD505-2E9C-101B-9397-08002B2CF9AE}" pid="120" name="FSC#ATSTATECFG@1.1001:Clause">
    <vt:lpwstr/>
  </property>
  <property fmtid="{D5CDD505-2E9C-101B-9397-08002B2CF9AE}" pid="121" name="FSC#ATSTATECFG@1.1001:ApprovedSignature">
    <vt:lpwstr/>
  </property>
  <property fmtid="{D5CDD505-2E9C-101B-9397-08002B2CF9AE}" pid="122" name="FSC#ATSTATECFG@1.1001:BankAccount">
    <vt:lpwstr/>
  </property>
  <property fmtid="{D5CDD505-2E9C-101B-9397-08002B2CF9AE}" pid="123" name="FSC#ATSTATECFG@1.1001:BankAccountOwner">
    <vt:lpwstr/>
  </property>
  <property fmtid="{D5CDD505-2E9C-101B-9397-08002B2CF9AE}" pid="124" name="FSC#ATSTATECFG@1.1001:BankInstitute">
    <vt:lpwstr/>
  </property>
  <property fmtid="{D5CDD505-2E9C-101B-9397-08002B2CF9AE}" pid="125" name="FSC#ATSTATECFG@1.1001:BankAccountID">
    <vt:lpwstr/>
  </property>
  <property fmtid="{D5CDD505-2E9C-101B-9397-08002B2CF9AE}" pid="126" name="FSC#ATSTATECFG@1.1001:BankAccountIBAN">
    <vt:lpwstr/>
  </property>
  <property fmtid="{D5CDD505-2E9C-101B-9397-08002B2CF9AE}" pid="127" name="FSC#ATSTATECFG@1.1001:BankAccountBIC">
    <vt:lpwstr/>
  </property>
  <property fmtid="{D5CDD505-2E9C-101B-9397-08002B2CF9AE}" pid="128" name="FSC#ATSTATECFG@1.1001:BankName">
    <vt:lpwstr/>
  </property>
  <property fmtid="{D5CDD505-2E9C-101B-9397-08002B2CF9AE}" pid="129" name="FSC#COOSYSTEM@1.1:Container">
    <vt:lpwstr>COO.2101.108.4.514042</vt:lpwstr>
  </property>
  <property fmtid="{D5CDD505-2E9C-101B-9397-08002B2CF9AE}" pid="130" name="FSC#FSCFOLIO@1.1001:docpropproject">
    <vt:lpwstr/>
  </property>
</Properties>
</file>